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73" w:rsidRPr="00201E0E" w:rsidRDefault="00194673" w:rsidP="00194673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DRAFT </w:t>
      </w:r>
      <w:r w:rsidRPr="00827945">
        <w:rPr>
          <w:rFonts w:cs="Arial"/>
          <w:b/>
          <w:szCs w:val="24"/>
        </w:rPr>
        <w:t>Work Plan fo</w:t>
      </w:r>
      <w:r>
        <w:rPr>
          <w:rFonts w:cs="Arial"/>
          <w:b/>
          <w:szCs w:val="24"/>
        </w:rPr>
        <w:t>r Person Centred Committee (2018/19</w:t>
      </w:r>
      <w:r w:rsidRPr="00827945">
        <w:rPr>
          <w:rFonts w:cs="Arial"/>
          <w:b/>
          <w:szCs w:val="24"/>
        </w:rPr>
        <w:t>)</w:t>
      </w:r>
      <w:r>
        <w:rPr>
          <w:rFonts w:cs="Arial"/>
          <w:b/>
          <w:szCs w:val="24"/>
        </w:rPr>
        <w:t xml:space="preserve"> (April 2018)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1"/>
        <w:gridCol w:w="2732"/>
        <w:gridCol w:w="2678"/>
        <w:gridCol w:w="2733"/>
      </w:tblGrid>
      <w:tr w:rsidR="00194673" w:rsidRPr="00561488" w:rsidTr="00C479CA">
        <w:tc>
          <w:tcPr>
            <w:tcW w:w="2731" w:type="dxa"/>
          </w:tcPr>
          <w:p w:rsidR="00194673" w:rsidRPr="00104031" w:rsidRDefault="00194673" w:rsidP="00C479CA">
            <w:pPr>
              <w:rPr>
                <w:b/>
              </w:rPr>
            </w:pPr>
            <w:r w:rsidRPr="00104031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</w:t>
            </w:r>
            <w:r w:rsidRPr="00104031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 xml:space="preserve"> April 2018</w:t>
            </w:r>
          </w:p>
        </w:tc>
        <w:tc>
          <w:tcPr>
            <w:tcW w:w="2732" w:type="dxa"/>
          </w:tcPr>
          <w:p w:rsidR="00194673" w:rsidRPr="00104031" w:rsidRDefault="00194673" w:rsidP="00C479CA">
            <w:pPr>
              <w:rPr>
                <w:b/>
              </w:rPr>
            </w:pPr>
            <w:r w:rsidRPr="00104031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</w:t>
            </w:r>
            <w:r w:rsidRPr="00104031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 xml:space="preserve"> July 2018</w:t>
            </w:r>
          </w:p>
        </w:tc>
        <w:tc>
          <w:tcPr>
            <w:tcW w:w="2678" w:type="dxa"/>
          </w:tcPr>
          <w:p w:rsidR="00194673" w:rsidRPr="00104031" w:rsidRDefault="00194673" w:rsidP="00C479CA">
            <w:pPr>
              <w:rPr>
                <w:b/>
              </w:rPr>
            </w:pPr>
            <w:r>
              <w:rPr>
                <w:b/>
                <w:sz w:val="22"/>
              </w:rPr>
              <w:t>9</w:t>
            </w:r>
            <w:r w:rsidRPr="00104031"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z w:val="22"/>
              </w:rPr>
              <w:t xml:space="preserve"> October 2018</w:t>
            </w:r>
          </w:p>
        </w:tc>
        <w:tc>
          <w:tcPr>
            <w:tcW w:w="2733" w:type="dxa"/>
          </w:tcPr>
          <w:p w:rsidR="00194673" w:rsidRPr="00104031" w:rsidRDefault="00194673" w:rsidP="00C479CA">
            <w:pPr>
              <w:rPr>
                <w:b/>
              </w:rPr>
            </w:pPr>
            <w:r>
              <w:rPr>
                <w:b/>
                <w:sz w:val="22"/>
              </w:rPr>
              <w:t>Jan 2019</w:t>
            </w:r>
          </w:p>
        </w:tc>
      </w:tr>
      <w:tr w:rsidR="00194673" w:rsidTr="00C479CA">
        <w:tc>
          <w:tcPr>
            <w:tcW w:w="2731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Deadline:  Mon 17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April</w:t>
            </w:r>
          </w:p>
        </w:tc>
        <w:tc>
          <w:tcPr>
            <w:tcW w:w="2732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Deadline:  Mon 17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July</w:t>
            </w:r>
          </w:p>
        </w:tc>
        <w:tc>
          <w:tcPr>
            <w:tcW w:w="2678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Deadline:  Mon 2</w:t>
            </w:r>
            <w:r w:rsidRPr="00104031">
              <w:rPr>
                <w:sz w:val="22"/>
                <w:vertAlign w:val="superscript"/>
              </w:rPr>
              <w:t>nd</w:t>
            </w:r>
            <w:r w:rsidRPr="00104031">
              <w:rPr>
                <w:sz w:val="22"/>
              </w:rPr>
              <w:t xml:space="preserve"> Oct</w:t>
            </w:r>
          </w:p>
        </w:tc>
        <w:tc>
          <w:tcPr>
            <w:tcW w:w="2733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To be advised</w:t>
            </w:r>
          </w:p>
        </w:tc>
      </w:tr>
      <w:tr w:rsidR="00194673" w:rsidTr="00C479CA">
        <w:tc>
          <w:tcPr>
            <w:tcW w:w="2731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SMT: 9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March</w:t>
            </w:r>
          </w:p>
        </w:tc>
        <w:tc>
          <w:tcPr>
            <w:tcW w:w="2732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SMT:  20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July</w:t>
            </w:r>
          </w:p>
        </w:tc>
        <w:tc>
          <w:tcPr>
            <w:tcW w:w="2678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SMT:  5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Oct</w:t>
            </w:r>
          </w:p>
        </w:tc>
        <w:tc>
          <w:tcPr>
            <w:tcW w:w="2733" w:type="dxa"/>
            <w:shd w:val="clear" w:color="auto" w:fill="FFFFFF"/>
          </w:tcPr>
          <w:p w:rsidR="00194673" w:rsidRPr="00104031" w:rsidRDefault="00194673" w:rsidP="00C479CA"/>
        </w:tc>
      </w:tr>
      <w:tr w:rsidR="00194673" w:rsidTr="00C479CA">
        <w:tc>
          <w:tcPr>
            <w:tcW w:w="2731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PF:  21</w:t>
            </w:r>
            <w:r w:rsidRPr="00104031">
              <w:rPr>
                <w:sz w:val="22"/>
                <w:vertAlign w:val="superscript"/>
              </w:rPr>
              <w:t>st</w:t>
            </w:r>
            <w:r w:rsidRPr="00104031">
              <w:rPr>
                <w:sz w:val="22"/>
              </w:rPr>
              <w:t xml:space="preserve"> April</w:t>
            </w:r>
          </w:p>
        </w:tc>
        <w:tc>
          <w:tcPr>
            <w:tcW w:w="2732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PF:  14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July</w:t>
            </w:r>
          </w:p>
        </w:tc>
        <w:tc>
          <w:tcPr>
            <w:tcW w:w="2678" w:type="dxa"/>
            <w:shd w:val="clear" w:color="auto" w:fill="FFFFFF"/>
          </w:tcPr>
          <w:p w:rsidR="00194673" w:rsidRPr="00104031" w:rsidRDefault="00194673" w:rsidP="00C479CA">
            <w:r w:rsidRPr="00104031">
              <w:rPr>
                <w:sz w:val="22"/>
              </w:rPr>
              <w:t>PF:  25</w:t>
            </w:r>
            <w:r w:rsidRPr="00104031">
              <w:rPr>
                <w:sz w:val="22"/>
                <w:vertAlign w:val="superscript"/>
              </w:rPr>
              <w:t>th</w:t>
            </w:r>
            <w:r w:rsidRPr="00104031">
              <w:rPr>
                <w:sz w:val="22"/>
              </w:rPr>
              <w:t xml:space="preserve"> August</w:t>
            </w:r>
          </w:p>
        </w:tc>
        <w:tc>
          <w:tcPr>
            <w:tcW w:w="2733" w:type="dxa"/>
            <w:shd w:val="clear" w:color="auto" w:fill="FFFFFF"/>
          </w:tcPr>
          <w:p w:rsidR="00194673" w:rsidRPr="00104031" w:rsidRDefault="00194673" w:rsidP="00C479CA"/>
        </w:tc>
      </w:tr>
      <w:tr w:rsidR="00194673" w:rsidTr="00C479CA">
        <w:tc>
          <w:tcPr>
            <w:tcW w:w="2731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KSF end of year report 16/17</w:t>
            </w:r>
          </w:p>
        </w:tc>
        <w:tc>
          <w:tcPr>
            <w:tcW w:w="2732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Quarterly KSF Report (Staff Governance Report)</w:t>
            </w:r>
          </w:p>
          <w:p w:rsidR="00194673" w:rsidRPr="00104031" w:rsidRDefault="00194673" w:rsidP="00C479CA"/>
        </w:tc>
        <w:tc>
          <w:tcPr>
            <w:tcW w:w="2678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Quarterly KSF Report (Staff Governance Report)</w:t>
            </w:r>
          </w:p>
        </w:tc>
        <w:tc>
          <w:tcPr>
            <w:tcW w:w="2733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Quarterly KSF Report (Staff Governance Report)</w:t>
            </w:r>
          </w:p>
        </w:tc>
      </w:tr>
      <w:tr w:rsidR="00194673" w:rsidTr="00C479CA">
        <w:tc>
          <w:tcPr>
            <w:tcW w:w="2731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Sickness Absence end of year report 16/1</w:t>
            </w:r>
            <w:r w:rsidR="00692384">
              <w:rPr>
                <w:sz w:val="22"/>
              </w:rPr>
              <w:t>7</w:t>
            </w:r>
          </w:p>
        </w:tc>
        <w:tc>
          <w:tcPr>
            <w:tcW w:w="2732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Quarterly Sickness Absence Report (Staff Governance Report)</w:t>
            </w:r>
          </w:p>
        </w:tc>
        <w:tc>
          <w:tcPr>
            <w:tcW w:w="2678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Quarterly Sickness Absence Report (Staff Governance Report)</w:t>
            </w:r>
          </w:p>
        </w:tc>
        <w:tc>
          <w:tcPr>
            <w:tcW w:w="2733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Quarterly Sickness Absence Report (Staff Governance Report)</w:t>
            </w:r>
          </w:p>
        </w:tc>
      </w:tr>
      <w:tr w:rsidR="00194673" w:rsidTr="00C479CA">
        <w:tc>
          <w:tcPr>
            <w:tcW w:w="2731" w:type="dxa"/>
            <w:shd w:val="clear" w:color="auto" w:fill="EEAEE5"/>
          </w:tcPr>
          <w:p w:rsidR="00194673" w:rsidRPr="00104031" w:rsidRDefault="00194673" w:rsidP="00C479CA"/>
        </w:tc>
        <w:tc>
          <w:tcPr>
            <w:tcW w:w="2732" w:type="dxa"/>
            <w:shd w:val="clear" w:color="auto" w:fill="EEAEE5"/>
          </w:tcPr>
          <w:p w:rsidR="00194673" w:rsidRPr="00104031" w:rsidRDefault="00194673" w:rsidP="00C479CA"/>
        </w:tc>
        <w:tc>
          <w:tcPr>
            <w:tcW w:w="2678" w:type="dxa"/>
            <w:shd w:val="clear" w:color="auto" w:fill="EEAEE5"/>
          </w:tcPr>
          <w:p w:rsidR="00194673" w:rsidRPr="00104031" w:rsidRDefault="00194673" w:rsidP="00C479CA">
            <w:r w:rsidRPr="00104031">
              <w:rPr>
                <w:sz w:val="22"/>
              </w:rPr>
              <w:t>Values/iMatter Report</w:t>
            </w:r>
          </w:p>
        </w:tc>
        <w:tc>
          <w:tcPr>
            <w:tcW w:w="2733" w:type="dxa"/>
            <w:shd w:val="clear" w:color="auto" w:fill="EEAEE5"/>
          </w:tcPr>
          <w:p w:rsidR="00194673" w:rsidRPr="00104031" w:rsidRDefault="00194673" w:rsidP="00C479CA"/>
        </w:tc>
      </w:tr>
      <w:tr w:rsidR="00194673" w:rsidTr="00C479CA">
        <w:tc>
          <w:tcPr>
            <w:tcW w:w="2731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Complaints Report</w:t>
            </w:r>
          </w:p>
          <w:p w:rsidR="00194673" w:rsidRPr="00104031" w:rsidRDefault="00194673" w:rsidP="00C479CA"/>
        </w:tc>
        <w:tc>
          <w:tcPr>
            <w:tcW w:w="2732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Complaints Report</w:t>
            </w:r>
          </w:p>
        </w:tc>
        <w:tc>
          <w:tcPr>
            <w:tcW w:w="2678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Complaints Report</w:t>
            </w:r>
          </w:p>
        </w:tc>
        <w:tc>
          <w:tcPr>
            <w:tcW w:w="2733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Complaints Report</w:t>
            </w:r>
          </w:p>
        </w:tc>
      </w:tr>
      <w:tr w:rsidR="00194673" w:rsidTr="00C479CA">
        <w:tc>
          <w:tcPr>
            <w:tcW w:w="2731" w:type="dxa"/>
            <w:shd w:val="clear" w:color="auto" w:fill="548DD4"/>
          </w:tcPr>
          <w:p w:rsidR="00194673" w:rsidRPr="00104031" w:rsidRDefault="00194673" w:rsidP="00C479CA">
            <w:r w:rsidRPr="00104031">
              <w:rPr>
                <w:sz w:val="22"/>
              </w:rPr>
              <w:t>Involving People Report</w:t>
            </w:r>
          </w:p>
          <w:p w:rsidR="00194673" w:rsidRPr="00104031" w:rsidRDefault="00194673" w:rsidP="00C479CA"/>
        </w:tc>
        <w:tc>
          <w:tcPr>
            <w:tcW w:w="2732" w:type="dxa"/>
            <w:shd w:val="clear" w:color="auto" w:fill="548DD4"/>
          </w:tcPr>
          <w:p w:rsidR="00194673" w:rsidRPr="00104031" w:rsidRDefault="00194673" w:rsidP="00C479CA">
            <w:r w:rsidRPr="00104031">
              <w:rPr>
                <w:sz w:val="22"/>
              </w:rPr>
              <w:t>Involving People Annual Report</w:t>
            </w:r>
          </w:p>
        </w:tc>
        <w:tc>
          <w:tcPr>
            <w:tcW w:w="2678" w:type="dxa"/>
            <w:shd w:val="clear" w:color="auto" w:fill="548DD4"/>
          </w:tcPr>
          <w:p w:rsidR="00194673" w:rsidRPr="00104031" w:rsidRDefault="00194673" w:rsidP="00C479CA">
            <w:r w:rsidRPr="00104031">
              <w:rPr>
                <w:sz w:val="22"/>
              </w:rPr>
              <w:t>Involving People Report</w:t>
            </w:r>
          </w:p>
        </w:tc>
        <w:tc>
          <w:tcPr>
            <w:tcW w:w="2733" w:type="dxa"/>
            <w:shd w:val="clear" w:color="auto" w:fill="548DD4"/>
          </w:tcPr>
          <w:p w:rsidR="00194673" w:rsidRPr="00104031" w:rsidRDefault="00194673" w:rsidP="00C479CA">
            <w:r w:rsidRPr="00104031">
              <w:rPr>
                <w:sz w:val="22"/>
              </w:rPr>
              <w:t>Involving People Report</w:t>
            </w:r>
          </w:p>
        </w:tc>
      </w:tr>
      <w:tr w:rsidR="00194673" w:rsidTr="00C479CA">
        <w:tc>
          <w:tcPr>
            <w:tcW w:w="2731" w:type="dxa"/>
            <w:shd w:val="clear" w:color="auto" w:fill="92D050"/>
          </w:tcPr>
          <w:p w:rsidR="00194673" w:rsidRPr="00104031" w:rsidRDefault="00194673" w:rsidP="00C479CA">
            <w:r w:rsidRPr="00104031">
              <w:rPr>
                <w:sz w:val="22"/>
              </w:rPr>
              <w:t>Partnership Forum Report</w:t>
            </w:r>
          </w:p>
          <w:p w:rsidR="00194673" w:rsidRPr="00104031" w:rsidRDefault="00194673" w:rsidP="00C479CA"/>
        </w:tc>
        <w:tc>
          <w:tcPr>
            <w:tcW w:w="2732" w:type="dxa"/>
            <w:shd w:val="clear" w:color="auto" w:fill="92D050"/>
          </w:tcPr>
          <w:p w:rsidR="00194673" w:rsidRPr="00104031" w:rsidRDefault="00194673" w:rsidP="00C479CA">
            <w:r w:rsidRPr="00104031">
              <w:rPr>
                <w:sz w:val="22"/>
              </w:rPr>
              <w:t>Partnership Forum Report</w:t>
            </w:r>
          </w:p>
        </w:tc>
        <w:tc>
          <w:tcPr>
            <w:tcW w:w="2678" w:type="dxa"/>
            <w:shd w:val="clear" w:color="auto" w:fill="92D050"/>
          </w:tcPr>
          <w:p w:rsidR="00194673" w:rsidRPr="00104031" w:rsidRDefault="00194673" w:rsidP="00C479CA">
            <w:r w:rsidRPr="00104031">
              <w:rPr>
                <w:sz w:val="22"/>
              </w:rPr>
              <w:t>Partnership Forum Report</w:t>
            </w:r>
          </w:p>
        </w:tc>
        <w:tc>
          <w:tcPr>
            <w:tcW w:w="2733" w:type="dxa"/>
            <w:shd w:val="clear" w:color="auto" w:fill="92D050"/>
          </w:tcPr>
          <w:p w:rsidR="00194673" w:rsidRPr="00104031" w:rsidRDefault="00194673" w:rsidP="00C479CA">
            <w:r w:rsidRPr="00104031">
              <w:rPr>
                <w:sz w:val="22"/>
              </w:rPr>
              <w:t>Partnership Forum Report</w:t>
            </w:r>
          </w:p>
        </w:tc>
      </w:tr>
      <w:tr w:rsidR="00194673" w:rsidTr="00C479CA">
        <w:tc>
          <w:tcPr>
            <w:tcW w:w="2731" w:type="dxa"/>
            <w:shd w:val="clear" w:color="auto" w:fill="FFFFFF"/>
          </w:tcPr>
          <w:p w:rsidR="00194673" w:rsidRPr="00104031" w:rsidRDefault="00194673" w:rsidP="00C479CA"/>
        </w:tc>
        <w:tc>
          <w:tcPr>
            <w:tcW w:w="2732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Occupational Health &amp; Safety 6 monthly report</w:t>
            </w:r>
          </w:p>
        </w:tc>
        <w:tc>
          <w:tcPr>
            <w:tcW w:w="2678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Human Factors annual update</w:t>
            </w:r>
          </w:p>
        </w:tc>
        <w:tc>
          <w:tcPr>
            <w:tcW w:w="2733" w:type="dxa"/>
            <w:shd w:val="clear" w:color="auto" w:fill="B6DDE8"/>
          </w:tcPr>
          <w:p w:rsidR="00194673" w:rsidRPr="00104031" w:rsidRDefault="00194673" w:rsidP="00C479CA">
            <w:r w:rsidRPr="00104031">
              <w:rPr>
                <w:sz w:val="22"/>
              </w:rPr>
              <w:t>Occupational Health &amp; Safety 6 monthly report</w:t>
            </w:r>
          </w:p>
        </w:tc>
      </w:tr>
      <w:tr w:rsidR="00194673" w:rsidTr="00C479CA">
        <w:tc>
          <w:tcPr>
            <w:tcW w:w="2731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Mandatory Training End of Year Report</w:t>
            </w:r>
          </w:p>
        </w:tc>
        <w:tc>
          <w:tcPr>
            <w:tcW w:w="2732" w:type="dxa"/>
          </w:tcPr>
          <w:p w:rsidR="00194673" w:rsidRPr="00104031" w:rsidRDefault="00194673" w:rsidP="00C479CA"/>
        </w:tc>
        <w:tc>
          <w:tcPr>
            <w:tcW w:w="2678" w:type="dxa"/>
          </w:tcPr>
          <w:p w:rsidR="00194673" w:rsidRPr="00104031" w:rsidRDefault="00194673" w:rsidP="00C479CA"/>
        </w:tc>
        <w:tc>
          <w:tcPr>
            <w:tcW w:w="2733" w:type="dxa"/>
            <w:shd w:val="clear" w:color="auto" w:fill="FFFFFF"/>
          </w:tcPr>
          <w:p w:rsidR="00194673" w:rsidRPr="00104031" w:rsidRDefault="00194673" w:rsidP="00C479CA"/>
        </w:tc>
      </w:tr>
      <w:tr w:rsidR="00194673" w:rsidTr="00C479CA">
        <w:tc>
          <w:tcPr>
            <w:tcW w:w="2731" w:type="dxa"/>
          </w:tcPr>
          <w:p w:rsidR="00194673" w:rsidRPr="00104031" w:rsidRDefault="00194673" w:rsidP="00C479CA">
            <w:pPr>
              <w:tabs>
                <w:tab w:val="left" w:pos="2128"/>
              </w:tabs>
            </w:pPr>
          </w:p>
        </w:tc>
        <w:tc>
          <w:tcPr>
            <w:tcW w:w="2732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Corporate L&amp;D Plan &amp; Annual Report on Activity</w:t>
            </w:r>
          </w:p>
        </w:tc>
        <w:tc>
          <w:tcPr>
            <w:tcW w:w="2678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Corporate L&amp;D 6 monthly report</w:t>
            </w:r>
          </w:p>
        </w:tc>
        <w:tc>
          <w:tcPr>
            <w:tcW w:w="2733" w:type="dxa"/>
          </w:tcPr>
          <w:p w:rsidR="00194673" w:rsidRPr="00104031" w:rsidRDefault="00194673" w:rsidP="00C479CA"/>
        </w:tc>
      </w:tr>
      <w:tr w:rsidR="00194673" w:rsidTr="00C479CA">
        <w:tc>
          <w:tcPr>
            <w:tcW w:w="2731" w:type="dxa"/>
            <w:tcBorders>
              <w:bottom w:val="single" w:sz="4" w:space="0" w:color="auto"/>
            </w:tcBorders>
            <w:shd w:val="clear" w:color="auto" w:fill="FFFF99"/>
          </w:tcPr>
          <w:p w:rsidR="00194673" w:rsidRPr="00104031" w:rsidRDefault="00194673" w:rsidP="00C479CA">
            <w:pPr>
              <w:tabs>
                <w:tab w:val="left" w:pos="2128"/>
              </w:tabs>
            </w:pPr>
            <w:r w:rsidRPr="00104031">
              <w:rPr>
                <w:sz w:val="22"/>
              </w:rPr>
              <w:t>Medical Appraisal &amp; Revalidation 6 monthly report</w:t>
            </w:r>
          </w:p>
        </w:tc>
        <w:tc>
          <w:tcPr>
            <w:tcW w:w="2732" w:type="dxa"/>
          </w:tcPr>
          <w:p w:rsidR="00194673" w:rsidRPr="00104031" w:rsidRDefault="00194673" w:rsidP="00C479CA"/>
        </w:tc>
        <w:tc>
          <w:tcPr>
            <w:tcW w:w="2678" w:type="dxa"/>
            <w:shd w:val="clear" w:color="auto" w:fill="FFFF99"/>
          </w:tcPr>
          <w:p w:rsidR="00194673" w:rsidRPr="00104031" w:rsidRDefault="00194673" w:rsidP="00C479CA">
            <w:r w:rsidRPr="00104031">
              <w:rPr>
                <w:sz w:val="22"/>
              </w:rPr>
              <w:t>Medical Appraisal &amp; Revalidation 6 monthly report</w:t>
            </w:r>
          </w:p>
        </w:tc>
        <w:tc>
          <w:tcPr>
            <w:tcW w:w="2733" w:type="dxa"/>
          </w:tcPr>
          <w:p w:rsidR="00194673" w:rsidRPr="00104031" w:rsidRDefault="00194673" w:rsidP="00C479CA"/>
        </w:tc>
      </w:tr>
      <w:tr w:rsidR="00C479CA" w:rsidTr="00C479CA">
        <w:tc>
          <w:tcPr>
            <w:tcW w:w="2731" w:type="dxa"/>
            <w:shd w:val="clear" w:color="auto" w:fill="FFFFFF" w:themeFill="background1"/>
          </w:tcPr>
          <w:p w:rsidR="00C479CA" w:rsidRPr="00104031" w:rsidRDefault="00C479CA" w:rsidP="00C479CA">
            <w:pPr>
              <w:tabs>
                <w:tab w:val="left" w:pos="2128"/>
              </w:tabs>
            </w:pPr>
          </w:p>
        </w:tc>
        <w:tc>
          <w:tcPr>
            <w:tcW w:w="2732" w:type="dxa"/>
            <w:shd w:val="clear" w:color="auto" w:fill="EEAEE5"/>
          </w:tcPr>
          <w:p w:rsidR="00C479CA" w:rsidRPr="00104031" w:rsidRDefault="00C479CA" w:rsidP="00C479CA">
            <w:r w:rsidRPr="00104031">
              <w:rPr>
                <w:sz w:val="22"/>
              </w:rPr>
              <w:t>Communication Strategy</w:t>
            </w:r>
          </w:p>
        </w:tc>
        <w:tc>
          <w:tcPr>
            <w:tcW w:w="2678" w:type="dxa"/>
            <w:shd w:val="clear" w:color="auto" w:fill="EEAEE5"/>
          </w:tcPr>
          <w:p w:rsidR="00C479CA" w:rsidRPr="00104031" w:rsidRDefault="00C479CA" w:rsidP="00C479CA">
            <w:r w:rsidRPr="00104031">
              <w:rPr>
                <w:sz w:val="22"/>
              </w:rPr>
              <w:t>Communication Strategy Performance Update</w:t>
            </w:r>
          </w:p>
        </w:tc>
        <w:tc>
          <w:tcPr>
            <w:tcW w:w="2733" w:type="dxa"/>
            <w:shd w:val="clear" w:color="auto" w:fill="EEAEE5"/>
          </w:tcPr>
          <w:p w:rsidR="00C479CA" w:rsidRPr="00104031" w:rsidRDefault="00C479CA" w:rsidP="00C479CA">
            <w:r w:rsidRPr="00104031">
              <w:rPr>
                <w:sz w:val="22"/>
              </w:rPr>
              <w:t>Communication Strategy Performance Update</w:t>
            </w:r>
          </w:p>
        </w:tc>
      </w:tr>
      <w:tr w:rsidR="00C479CA" w:rsidTr="00C479CA">
        <w:tc>
          <w:tcPr>
            <w:tcW w:w="2731" w:type="dxa"/>
            <w:shd w:val="clear" w:color="auto" w:fill="4F81BD"/>
          </w:tcPr>
          <w:p w:rsidR="00C479CA" w:rsidRPr="00104031" w:rsidRDefault="00C479CA" w:rsidP="00C479CA">
            <w:pPr>
              <w:tabs>
                <w:tab w:val="left" w:pos="2128"/>
              </w:tabs>
            </w:pPr>
            <w:r w:rsidRPr="00104031">
              <w:rPr>
                <w:sz w:val="22"/>
              </w:rPr>
              <w:t>Staff Governance Self Assessment</w:t>
            </w:r>
          </w:p>
        </w:tc>
        <w:tc>
          <w:tcPr>
            <w:tcW w:w="2732" w:type="dxa"/>
            <w:shd w:val="clear" w:color="auto" w:fill="FFFFFF"/>
          </w:tcPr>
          <w:p w:rsidR="00C479CA" w:rsidRPr="00104031" w:rsidRDefault="00C479CA" w:rsidP="00C479CA"/>
        </w:tc>
        <w:tc>
          <w:tcPr>
            <w:tcW w:w="2678" w:type="dxa"/>
            <w:shd w:val="clear" w:color="auto" w:fill="548DD4"/>
          </w:tcPr>
          <w:p w:rsidR="00C479CA" w:rsidRPr="00104031" w:rsidRDefault="00C479CA" w:rsidP="00C479CA">
            <w:r w:rsidRPr="00104031">
              <w:rPr>
                <w:sz w:val="22"/>
              </w:rPr>
              <w:t>Staff Governance policy tracker update</w:t>
            </w:r>
          </w:p>
        </w:tc>
        <w:tc>
          <w:tcPr>
            <w:tcW w:w="2733" w:type="dxa"/>
          </w:tcPr>
          <w:p w:rsidR="00C479CA" w:rsidRPr="00104031" w:rsidRDefault="00C479CA" w:rsidP="00C479CA"/>
        </w:tc>
      </w:tr>
      <w:tr w:rsidR="00C479CA" w:rsidTr="00C479CA">
        <w:tc>
          <w:tcPr>
            <w:tcW w:w="2731" w:type="dxa"/>
          </w:tcPr>
          <w:p w:rsidR="00C479CA" w:rsidRPr="00104031" w:rsidRDefault="00C479CA" w:rsidP="00C479CA">
            <w:pPr>
              <w:tabs>
                <w:tab w:val="left" w:pos="2128"/>
              </w:tabs>
            </w:pPr>
          </w:p>
        </w:tc>
        <w:tc>
          <w:tcPr>
            <w:tcW w:w="2732" w:type="dxa"/>
          </w:tcPr>
          <w:p w:rsidR="00C479CA" w:rsidRPr="00104031" w:rsidRDefault="00C479CA" w:rsidP="00C479CA"/>
        </w:tc>
        <w:tc>
          <w:tcPr>
            <w:tcW w:w="2678" w:type="dxa"/>
          </w:tcPr>
          <w:p w:rsidR="00C479CA" w:rsidRPr="00104031" w:rsidRDefault="00C479CA" w:rsidP="00C479CA"/>
        </w:tc>
        <w:tc>
          <w:tcPr>
            <w:tcW w:w="2733" w:type="dxa"/>
            <w:shd w:val="clear" w:color="auto" w:fill="EEAEE5"/>
          </w:tcPr>
          <w:p w:rsidR="00C479CA" w:rsidRPr="00104031" w:rsidRDefault="00C479CA" w:rsidP="00C479CA">
            <w:r>
              <w:rPr>
                <w:sz w:val="22"/>
              </w:rPr>
              <w:t>Annual PCC Report 2018/19</w:t>
            </w:r>
          </w:p>
        </w:tc>
      </w:tr>
      <w:tr w:rsidR="00C479CA" w:rsidTr="00183CE1">
        <w:tc>
          <w:tcPr>
            <w:tcW w:w="2731" w:type="dxa"/>
          </w:tcPr>
          <w:p w:rsidR="00C479CA" w:rsidRPr="00104031" w:rsidRDefault="00C479CA" w:rsidP="00C479CA">
            <w:pPr>
              <w:tabs>
                <w:tab w:val="left" w:pos="2128"/>
              </w:tabs>
            </w:pPr>
          </w:p>
        </w:tc>
        <w:tc>
          <w:tcPr>
            <w:tcW w:w="2732" w:type="dxa"/>
            <w:shd w:val="clear" w:color="auto" w:fill="92D050"/>
          </w:tcPr>
          <w:p w:rsidR="00C479CA" w:rsidRPr="00104031" w:rsidRDefault="00C479CA" w:rsidP="00C479CA">
            <w:r w:rsidRPr="00104031">
              <w:rPr>
                <w:sz w:val="22"/>
              </w:rPr>
              <w:t>Board Workforce Plan and Annual Workforce Monitoring Report</w:t>
            </w:r>
          </w:p>
        </w:tc>
        <w:tc>
          <w:tcPr>
            <w:tcW w:w="2678" w:type="dxa"/>
            <w:shd w:val="clear" w:color="auto" w:fill="92D050"/>
          </w:tcPr>
          <w:p w:rsidR="00C479CA" w:rsidRPr="00183CE1" w:rsidRDefault="00183CE1" w:rsidP="00C479CA">
            <w:pPr>
              <w:rPr>
                <w:szCs w:val="22"/>
              </w:rPr>
            </w:pPr>
            <w:r w:rsidRPr="00183CE1">
              <w:rPr>
                <w:sz w:val="22"/>
                <w:szCs w:val="22"/>
              </w:rPr>
              <w:t>Volunteers Strategy &amp; Action Plan</w:t>
            </w:r>
          </w:p>
        </w:tc>
        <w:tc>
          <w:tcPr>
            <w:tcW w:w="2733" w:type="dxa"/>
            <w:shd w:val="clear" w:color="auto" w:fill="92D050"/>
          </w:tcPr>
          <w:p w:rsidR="00C479CA" w:rsidRPr="00104031" w:rsidRDefault="00C479CA" w:rsidP="00C479CA">
            <w:r w:rsidRPr="00104031">
              <w:rPr>
                <w:sz w:val="22"/>
              </w:rPr>
              <w:t>Annual Results of Participation Standards</w:t>
            </w:r>
          </w:p>
        </w:tc>
      </w:tr>
      <w:tr w:rsidR="00C479CA" w:rsidRPr="00561488" w:rsidTr="00C479CA">
        <w:tc>
          <w:tcPr>
            <w:tcW w:w="10874" w:type="dxa"/>
            <w:gridSpan w:val="4"/>
          </w:tcPr>
          <w:p w:rsidR="00C479CA" w:rsidRPr="00104031" w:rsidRDefault="00C479CA" w:rsidP="00C479CA">
            <w:pPr>
              <w:rPr>
                <w:b/>
              </w:rPr>
            </w:pPr>
            <w:r w:rsidRPr="00104031">
              <w:rPr>
                <w:b/>
                <w:sz w:val="22"/>
              </w:rPr>
              <w:t>Staff Governance Standards</w:t>
            </w:r>
          </w:p>
        </w:tc>
      </w:tr>
      <w:tr w:rsidR="00C479CA" w:rsidTr="00C479CA">
        <w:tc>
          <w:tcPr>
            <w:tcW w:w="10874" w:type="dxa"/>
            <w:gridSpan w:val="4"/>
            <w:shd w:val="clear" w:color="auto" w:fill="EEAEE5"/>
          </w:tcPr>
          <w:p w:rsidR="00C479CA" w:rsidRPr="00104031" w:rsidRDefault="00C479CA" w:rsidP="00C479CA">
            <w:r w:rsidRPr="00104031">
              <w:rPr>
                <w:sz w:val="22"/>
              </w:rPr>
              <w:t>Well informed</w:t>
            </w:r>
          </w:p>
        </w:tc>
      </w:tr>
      <w:tr w:rsidR="00C479CA" w:rsidTr="00C479CA">
        <w:tc>
          <w:tcPr>
            <w:tcW w:w="10874" w:type="dxa"/>
            <w:gridSpan w:val="4"/>
            <w:shd w:val="clear" w:color="auto" w:fill="FFFF99"/>
          </w:tcPr>
          <w:p w:rsidR="00C479CA" w:rsidRPr="00104031" w:rsidRDefault="00C479CA" w:rsidP="00C479CA">
            <w:r w:rsidRPr="00104031">
              <w:rPr>
                <w:sz w:val="22"/>
              </w:rPr>
              <w:t>Trained</w:t>
            </w:r>
          </w:p>
        </w:tc>
      </w:tr>
      <w:tr w:rsidR="00C479CA" w:rsidTr="00C479CA">
        <w:tc>
          <w:tcPr>
            <w:tcW w:w="10874" w:type="dxa"/>
            <w:gridSpan w:val="4"/>
            <w:shd w:val="clear" w:color="auto" w:fill="92D050"/>
          </w:tcPr>
          <w:p w:rsidR="00C479CA" w:rsidRPr="00104031" w:rsidRDefault="00C479CA" w:rsidP="00C479CA">
            <w:r w:rsidRPr="00104031">
              <w:rPr>
                <w:sz w:val="22"/>
              </w:rPr>
              <w:t>Involved in Decision</w:t>
            </w:r>
          </w:p>
        </w:tc>
      </w:tr>
      <w:tr w:rsidR="00C479CA" w:rsidTr="00C479CA">
        <w:tc>
          <w:tcPr>
            <w:tcW w:w="10874" w:type="dxa"/>
            <w:gridSpan w:val="4"/>
            <w:shd w:val="clear" w:color="auto" w:fill="548DD4"/>
          </w:tcPr>
          <w:p w:rsidR="00C479CA" w:rsidRPr="00104031" w:rsidRDefault="00C479CA" w:rsidP="00C479CA">
            <w:r w:rsidRPr="00104031">
              <w:rPr>
                <w:sz w:val="22"/>
              </w:rPr>
              <w:t>Fair &amp; Consistent</w:t>
            </w:r>
          </w:p>
        </w:tc>
      </w:tr>
      <w:tr w:rsidR="00C479CA" w:rsidTr="00C479CA">
        <w:tc>
          <w:tcPr>
            <w:tcW w:w="10874" w:type="dxa"/>
            <w:gridSpan w:val="4"/>
            <w:shd w:val="clear" w:color="auto" w:fill="B6DDE8"/>
          </w:tcPr>
          <w:p w:rsidR="00C479CA" w:rsidRPr="00104031" w:rsidRDefault="00C479CA" w:rsidP="00C479CA">
            <w:r w:rsidRPr="00104031">
              <w:rPr>
                <w:sz w:val="22"/>
              </w:rPr>
              <w:t>Safe Working Environment</w:t>
            </w:r>
          </w:p>
        </w:tc>
      </w:tr>
    </w:tbl>
    <w:p w:rsidR="00194673" w:rsidRDefault="00194673" w:rsidP="00194673"/>
    <w:p w:rsidR="00194673" w:rsidRDefault="00194673" w:rsidP="00194673"/>
    <w:p w:rsidR="00E03A8B" w:rsidRDefault="00E03A8B"/>
    <w:sectPr w:rsidR="00E03A8B" w:rsidSect="00C479CA">
      <w:pgSz w:w="11906" w:h="16838"/>
      <w:pgMar w:top="720" w:right="624" w:bottom="72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4673"/>
    <w:rsid w:val="000B24E6"/>
    <w:rsid w:val="000C2561"/>
    <w:rsid w:val="00183CE1"/>
    <w:rsid w:val="00194673"/>
    <w:rsid w:val="00252327"/>
    <w:rsid w:val="002E13BF"/>
    <w:rsid w:val="002F4007"/>
    <w:rsid w:val="004F06B2"/>
    <w:rsid w:val="00603AE6"/>
    <w:rsid w:val="00692384"/>
    <w:rsid w:val="007328F7"/>
    <w:rsid w:val="00843075"/>
    <w:rsid w:val="009436A3"/>
    <w:rsid w:val="009F032F"/>
    <w:rsid w:val="00A62F54"/>
    <w:rsid w:val="00BE565B"/>
    <w:rsid w:val="00BF604C"/>
    <w:rsid w:val="00C3773F"/>
    <w:rsid w:val="00C479CA"/>
    <w:rsid w:val="00C47D9B"/>
    <w:rsid w:val="00C546DC"/>
    <w:rsid w:val="00DA1EB4"/>
    <w:rsid w:val="00E03A8B"/>
    <w:rsid w:val="00E2330C"/>
    <w:rsid w:val="00E9272D"/>
    <w:rsid w:val="00F21661"/>
    <w:rsid w:val="00F5314F"/>
    <w:rsid w:val="00F53EE1"/>
    <w:rsid w:val="00F72869"/>
    <w:rsid w:val="00FC045D"/>
    <w:rsid w:val="00FF1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7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Nelsonc</dc:creator>
  <cp:lastModifiedBy>McQueenA</cp:lastModifiedBy>
  <cp:revision>2</cp:revision>
  <cp:lastPrinted>2018-06-13T14:29:00Z</cp:lastPrinted>
  <dcterms:created xsi:type="dcterms:W3CDTF">2018-06-13T14:29:00Z</dcterms:created>
  <dcterms:modified xsi:type="dcterms:W3CDTF">2018-06-13T14:29:00Z</dcterms:modified>
</cp:coreProperties>
</file>