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4F" w:rsidRPr="00345B4F" w:rsidRDefault="00345B4F" w:rsidP="00345B4F">
      <w:pPr>
        <w:pStyle w:val="Heading1"/>
        <w:tabs>
          <w:tab w:val="left" w:pos="3261"/>
        </w:tabs>
        <w:ind w:right="183"/>
        <w:jc w:val="right"/>
        <w:rPr>
          <w:rFonts w:ascii="Arial" w:hAnsi="Arial" w:cs="Arial"/>
          <w:noProof/>
          <w:color w:val="002060"/>
          <w:sz w:val="20"/>
          <w:szCs w:val="20"/>
          <w:lang w:eastAsia="en-GB"/>
        </w:rPr>
      </w:pPr>
      <w:r w:rsidRPr="00345B4F">
        <w:rPr>
          <w:rFonts w:ascii="Arial" w:hAnsi="Arial" w:cs="Arial"/>
          <w:noProof/>
          <w:color w:val="002060"/>
          <w:sz w:val="20"/>
          <w:szCs w:val="20"/>
          <w:lang w:eastAsia="en-GB"/>
        </w:rPr>
        <w:t>Ref: GJF/2018/06/14</w:t>
      </w:r>
    </w:p>
    <w:p w:rsidR="00345B4F" w:rsidRPr="00345B4F" w:rsidRDefault="00345B4F" w:rsidP="00345B4F">
      <w:pPr>
        <w:rPr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4507865</wp:posOffset>
            </wp:positionH>
            <wp:positionV relativeFrom="paragraph">
              <wp:posOffset>149225</wp:posOffset>
            </wp:positionV>
            <wp:extent cx="1388110" cy="1390650"/>
            <wp:effectExtent l="19050" t="0" r="2540" b="0"/>
            <wp:wrapSquare wrapText="bothSides"/>
            <wp:docPr id="3" name="Picture 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JF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4084" w:rsidRPr="00D55096" w:rsidRDefault="009B04F3" w:rsidP="00345B4F">
      <w:pPr>
        <w:pStyle w:val="Heading1"/>
        <w:tabs>
          <w:tab w:val="left" w:pos="2694"/>
        </w:tabs>
        <w:ind w:right="183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n-GB"/>
        </w:rPr>
        <w:t>Board M</w:t>
      </w:r>
      <w:r w:rsidR="00924D4F">
        <w:rPr>
          <w:rFonts w:ascii="Arial" w:hAnsi="Arial" w:cs="Arial"/>
          <w:noProof/>
          <w:sz w:val="24"/>
          <w:lang w:eastAsia="en-GB"/>
        </w:rPr>
        <w:t>eeting</w:t>
      </w:r>
      <w:r w:rsidR="00D55096" w:rsidRPr="00E42B7D">
        <w:rPr>
          <w:rFonts w:ascii="Arial" w:hAnsi="Arial" w:cs="Arial"/>
          <w:noProof/>
          <w:sz w:val="24"/>
          <w:lang w:eastAsia="en-GB"/>
        </w:rPr>
        <w:t>:</w:t>
      </w:r>
      <w:r w:rsidR="00354084" w:rsidRPr="00E42B7D">
        <w:rPr>
          <w:rFonts w:ascii="Arial" w:hAnsi="Arial" w:cs="Arial"/>
          <w:sz w:val="24"/>
        </w:rPr>
        <w:t xml:space="preserve"> </w:t>
      </w:r>
      <w:r w:rsidR="00693B97" w:rsidRPr="00E42B7D">
        <w:rPr>
          <w:rFonts w:ascii="Arial" w:hAnsi="Arial" w:cs="Arial"/>
          <w:sz w:val="24"/>
        </w:rPr>
        <w:tab/>
      </w:r>
      <w:r w:rsidRPr="009B04F3">
        <w:rPr>
          <w:rFonts w:ascii="Arial" w:hAnsi="Arial" w:cs="Arial"/>
          <w:b w:val="0"/>
          <w:sz w:val="24"/>
        </w:rPr>
        <w:t>21</w:t>
      </w:r>
      <w:r w:rsidR="00924D4F" w:rsidRPr="00924D4F">
        <w:rPr>
          <w:rFonts w:ascii="Arial" w:hAnsi="Arial" w:cs="Arial"/>
          <w:b w:val="0"/>
          <w:sz w:val="24"/>
        </w:rPr>
        <w:t xml:space="preserve"> June</w:t>
      </w:r>
      <w:r w:rsidR="00354084" w:rsidRPr="00924D4F">
        <w:rPr>
          <w:rFonts w:ascii="Arial" w:hAnsi="Arial" w:cs="Arial"/>
          <w:b w:val="0"/>
          <w:sz w:val="24"/>
        </w:rPr>
        <w:t xml:space="preserve"> 201</w:t>
      </w:r>
      <w:r w:rsidR="00B03BB8" w:rsidRPr="00924D4F">
        <w:rPr>
          <w:rFonts w:ascii="Arial" w:hAnsi="Arial" w:cs="Arial"/>
          <w:b w:val="0"/>
          <w:sz w:val="24"/>
        </w:rPr>
        <w:t>8</w:t>
      </w:r>
      <w:r w:rsidR="00354084" w:rsidRPr="00924D4F">
        <w:rPr>
          <w:rFonts w:ascii="Arial" w:hAnsi="Arial" w:cs="Arial"/>
          <w:b w:val="0"/>
          <w:sz w:val="24"/>
        </w:rPr>
        <w:tab/>
      </w:r>
      <w:r w:rsidR="00354084" w:rsidRPr="001175E5">
        <w:rPr>
          <w:rFonts w:ascii="Arial" w:hAnsi="Arial" w:cs="Arial"/>
          <w:b w:val="0"/>
          <w:sz w:val="24"/>
        </w:rPr>
        <w:tab/>
      </w:r>
      <w:r w:rsidR="00924D4F">
        <w:rPr>
          <w:rFonts w:ascii="Arial" w:hAnsi="Arial" w:cs="Arial"/>
          <w:b w:val="0"/>
          <w:sz w:val="24"/>
        </w:rPr>
        <w:br/>
      </w:r>
      <w:r w:rsidR="00354084">
        <w:rPr>
          <w:rFonts w:ascii="Arial" w:hAnsi="Arial" w:cs="Arial"/>
          <w:b w:val="0"/>
          <w:sz w:val="24"/>
        </w:rPr>
        <w:tab/>
      </w:r>
    </w:p>
    <w:p w:rsidR="00354084" w:rsidRPr="00682309" w:rsidRDefault="00354084" w:rsidP="00345B4F">
      <w:pPr>
        <w:tabs>
          <w:tab w:val="left" w:pos="2694"/>
        </w:tabs>
        <w:ind w:left="2694" w:right="183" w:hanging="2694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037BDB">
        <w:rPr>
          <w:rFonts w:ascii="Arial" w:hAnsi="Arial" w:cs="Arial"/>
          <w:bCs/>
        </w:rPr>
        <w:t>Finance Report</w:t>
      </w:r>
      <w:r w:rsidR="00345B4F">
        <w:rPr>
          <w:rFonts w:ascii="Arial" w:hAnsi="Arial" w:cs="Arial"/>
          <w:bCs/>
        </w:rPr>
        <w:t xml:space="preserve">, </w:t>
      </w:r>
      <w:r w:rsidR="004D605C">
        <w:rPr>
          <w:rFonts w:ascii="Arial" w:hAnsi="Arial" w:cs="Arial"/>
          <w:bCs/>
        </w:rPr>
        <w:t xml:space="preserve">March </w:t>
      </w:r>
      <w:r w:rsidR="00E42B7D">
        <w:rPr>
          <w:rFonts w:ascii="Arial" w:hAnsi="Arial" w:cs="Arial"/>
          <w:bCs/>
        </w:rPr>
        <w:t>2018</w:t>
      </w:r>
    </w:p>
    <w:p w:rsidR="00354084" w:rsidRPr="00682309" w:rsidRDefault="00354084" w:rsidP="00345B4F">
      <w:pPr>
        <w:tabs>
          <w:tab w:val="left" w:pos="2694"/>
        </w:tabs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354084" w:rsidRDefault="00354084" w:rsidP="00345B4F">
      <w:pPr>
        <w:tabs>
          <w:tab w:val="left" w:pos="2694"/>
        </w:tabs>
        <w:ind w:left="2694" w:right="183" w:hanging="2694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Pr="00FB7212">
        <w:rPr>
          <w:rFonts w:ascii="Arial" w:hAnsi="Arial" w:cs="Arial"/>
        </w:rPr>
        <w:t>Members are asked to</w:t>
      </w:r>
      <w:r w:rsidR="00345B4F">
        <w:rPr>
          <w:rFonts w:ascii="Arial" w:hAnsi="Arial" w:cs="Arial"/>
        </w:rPr>
        <w:t xml:space="preserve"> discuss and</w:t>
      </w:r>
      <w:r w:rsidRPr="00FB7212">
        <w:rPr>
          <w:rFonts w:ascii="Arial" w:hAnsi="Arial" w:cs="Arial"/>
        </w:rPr>
        <w:t xml:space="preserve"> note this report</w:t>
      </w:r>
      <w:r>
        <w:rPr>
          <w:rFonts w:ascii="Arial" w:hAnsi="Arial" w:cs="Arial"/>
        </w:rPr>
        <w:t xml:space="preserve"> </w:t>
      </w:r>
      <w:r w:rsidRPr="00FB7212">
        <w:rPr>
          <w:rFonts w:ascii="Arial" w:hAnsi="Arial" w:cs="Arial"/>
        </w:rPr>
        <w:t xml:space="preserve">for the period to </w:t>
      </w:r>
      <w:r w:rsidR="004D605C">
        <w:rPr>
          <w:rFonts w:ascii="Arial" w:hAnsi="Arial" w:cs="Arial"/>
        </w:rPr>
        <w:t>31 March</w:t>
      </w:r>
      <w:r w:rsidR="00E42B7D">
        <w:rPr>
          <w:rFonts w:ascii="Arial" w:hAnsi="Arial" w:cs="Arial"/>
        </w:rPr>
        <w:t xml:space="preserve"> 2018</w:t>
      </w:r>
    </w:p>
    <w:p w:rsidR="00345B4F" w:rsidRPr="00682309" w:rsidRDefault="00345B4F" w:rsidP="00345B4F">
      <w:pPr>
        <w:tabs>
          <w:tab w:val="left" w:pos="2694"/>
        </w:tabs>
        <w:ind w:left="2694" w:right="183" w:hanging="2694"/>
        <w:rPr>
          <w:rFonts w:ascii="Arial" w:hAnsi="Arial" w:cs="Arial"/>
        </w:rPr>
      </w:pPr>
    </w:p>
    <w:p w:rsidR="00354084" w:rsidRPr="00682309" w:rsidRDefault="00354084" w:rsidP="00037BDB">
      <w:pPr>
        <w:ind w:right="-4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</w:t>
      </w:r>
      <w:r w:rsidR="00345B4F">
        <w:rPr>
          <w:rFonts w:ascii="Arial" w:hAnsi="Arial" w:cs="Arial"/>
          <w:b/>
          <w:bCs/>
        </w:rPr>
        <w:t>__________________</w:t>
      </w:r>
    </w:p>
    <w:p w:rsidR="00354084" w:rsidRPr="00FB7212" w:rsidRDefault="00354084">
      <w:pPr>
        <w:pStyle w:val="BodyTextIndent2"/>
        <w:ind w:left="0"/>
        <w:rPr>
          <w:rFonts w:ascii="Arial" w:hAnsi="Arial" w:cs="Arial"/>
          <w:sz w:val="16"/>
        </w:rPr>
      </w:pPr>
    </w:p>
    <w:p w:rsidR="00354084" w:rsidRDefault="00354084" w:rsidP="00F77BF0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FB7212">
        <w:rPr>
          <w:rFonts w:ascii="Arial" w:hAnsi="Arial" w:cs="Arial"/>
        </w:rPr>
        <w:t>Introduction/Key Issues</w:t>
      </w:r>
    </w:p>
    <w:p w:rsidR="00354084" w:rsidRDefault="00354084" w:rsidP="007A3B40">
      <w:pPr>
        <w:pStyle w:val="BodyTextIndent2"/>
        <w:ind w:left="0"/>
        <w:jc w:val="left"/>
        <w:rPr>
          <w:rFonts w:ascii="Arial" w:hAnsi="Arial" w:cs="Arial"/>
        </w:rPr>
      </w:pPr>
    </w:p>
    <w:p w:rsidR="00354084" w:rsidRPr="002E3101" w:rsidRDefault="00354084" w:rsidP="00E66A89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>The year-</w:t>
      </w:r>
      <w:r w:rsidR="004D605C">
        <w:rPr>
          <w:rFonts w:ascii="Arial" w:hAnsi="Arial" w:cs="Arial"/>
        </w:rPr>
        <w:t>end</w:t>
      </w:r>
      <w:r w:rsidR="00DD7165">
        <w:rPr>
          <w:rFonts w:ascii="Arial" w:hAnsi="Arial" w:cs="Arial"/>
        </w:rPr>
        <w:t xml:space="preserve"> results </w:t>
      </w:r>
      <w:r w:rsidR="004D605C">
        <w:rPr>
          <w:rFonts w:ascii="Arial" w:hAnsi="Arial" w:cs="Arial"/>
        </w:rPr>
        <w:t xml:space="preserve">to March 2018 </w:t>
      </w:r>
      <w:r w:rsidR="00DD7165">
        <w:rPr>
          <w:rFonts w:ascii="Arial" w:hAnsi="Arial" w:cs="Arial"/>
        </w:rPr>
        <w:t>show a small</w:t>
      </w:r>
      <w:r w:rsidR="00E42B7D">
        <w:rPr>
          <w:rFonts w:ascii="Arial" w:hAnsi="Arial" w:cs="Arial"/>
        </w:rPr>
        <w:t xml:space="preserve"> surplus</w:t>
      </w:r>
      <w:r w:rsidRPr="002E3101">
        <w:rPr>
          <w:rFonts w:ascii="Arial" w:hAnsi="Arial" w:cs="Arial"/>
        </w:rPr>
        <w:t xml:space="preserve"> of £</w:t>
      </w:r>
      <w:r w:rsidR="00F31BE4">
        <w:rPr>
          <w:rFonts w:ascii="Arial" w:hAnsi="Arial" w:cs="Arial"/>
        </w:rPr>
        <w:t>3</w:t>
      </w:r>
      <w:r w:rsidRPr="002E3101">
        <w:rPr>
          <w:rFonts w:ascii="Arial" w:hAnsi="Arial" w:cs="Arial"/>
        </w:rPr>
        <w:t xml:space="preserve">k. This includes both core and non-core expenditure, </w:t>
      </w:r>
      <w:r w:rsidR="00345B4F">
        <w:rPr>
          <w:rFonts w:ascii="Arial" w:hAnsi="Arial" w:cs="Arial"/>
        </w:rPr>
        <w:t>and</w:t>
      </w:r>
      <w:r w:rsidRPr="002E3101">
        <w:rPr>
          <w:rFonts w:ascii="Arial" w:hAnsi="Arial" w:cs="Arial"/>
        </w:rPr>
        <w:t xml:space="preserve"> is in line with the </w:t>
      </w:r>
      <w:r w:rsidR="004D605C">
        <w:rPr>
          <w:rFonts w:ascii="Arial" w:hAnsi="Arial" w:cs="Arial"/>
        </w:rPr>
        <w:t xml:space="preserve">breakeven </w:t>
      </w:r>
      <w:r w:rsidRPr="002E3101">
        <w:rPr>
          <w:rFonts w:ascii="Arial" w:hAnsi="Arial" w:cs="Arial"/>
        </w:rPr>
        <w:t>forecast in the finance plan. This surplus is made of the following:</w:t>
      </w:r>
    </w:p>
    <w:p w:rsidR="00354084" w:rsidRPr="002E3101" w:rsidRDefault="00354084" w:rsidP="00255F24">
      <w:pPr>
        <w:pStyle w:val="BodyTextIndent2"/>
        <w:ind w:left="0"/>
        <w:jc w:val="left"/>
        <w:rPr>
          <w:rFonts w:ascii="Arial" w:hAnsi="Arial" w:cs="Arial"/>
        </w:rPr>
      </w:pPr>
    </w:p>
    <w:p w:rsidR="00354084" w:rsidRPr="002E3101" w:rsidRDefault="008749E9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Income – ahead of</w:t>
      </w:r>
      <w:r w:rsidR="00354084" w:rsidRPr="002E3101">
        <w:rPr>
          <w:rFonts w:ascii="Arial" w:hAnsi="Arial" w:cs="Arial"/>
        </w:rPr>
        <w:t xml:space="preserve"> target </w:t>
      </w:r>
      <w:r w:rsidR="00354084" w:rsidRPr="00AC3356">
        <w:rPr>
          <w:rFonts w:ascii="Arial" w:hAnsi="Arial" w:cs="Arial"/>
        </w:rPr>
        <w:t>by £</w:t>
      </w:r>
      <w:r w:rsidR="00AC629B">
        <w:rPr>
          <w:rFonts w:ascii="Arial" w:hAnsi="Arial" w:cs="Arial"/>
        </w:rPr>
        <w:t>614</w:t>
      </w:r>
      <w:r w:rsidR="00354084" w:rsidRPr="00AC3356">
        <w:rPr>
          <w:rFonts w:ascii="Arial" w:hAnsi="Arial" w:cs="Arial"/>
        </w:rPr>
        <w:t>k</w:t>
      </w:r>
      <w:r w:rsidR="00354084" w:rsidRPr="002E3101">
        <w:rPr>
          <w:rFonts w:ascii="Arial" w:hAnsi="Arial" w:cs="Arial"/>
        </w:rPr>
        <w:t xml:space="preserve"> YTD;</w:t>
      </w:r>
    </w:p>
    <w:p w:rsidR="00354084" w:rsidRPr="002E3101" w:rsidRDefault="00354084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 xml:space="preserve">Core Expenditure – </w:t>
      </w:r>
      <w:r w:rsidR="008749E9">
        <w:rPr>
          <w:rFonts w:ascii="Arial" w:hAnsi="Arial" w:cs="Arial"/>
        </w:rPr>
        <w:t>ov</w:t>
      </w:r>
      <w:r w:rsidRPr="002E3101">
        <w:rPr>
          <w:rFonts w:ascii="Arial" w:hAnsi="Arial" w:cs="Arial"/>
        </w:rPr>
        <w:t xml:space="preserve">erspend of </w:t>
      </w:r>
      <w:r w:rsidR="008749E9" w:rsidRPr="00AC3356">
        <w:rPr>
          <w:rFonts w:ascii="Arial" w:hAnsi="Arial" w:cs="Arial"/>
        </w:rPr>
        <w:t>(</w:t>
      </w:r>
      <w:r w:rsidRPr="00AC3356">
        <w:rPr>
          <w:rFonts w:ascii="Arial" w:hAnsi="Arial" w:cs="Arial"/>
        </w:rPr>
        <w:t>£</w:t>
      </w:r>
      <w:r w:rsidR="00AC629B">
        <w:rPr>
          <w:rFonts w:ascii="Arial" w:hAnsi="Arial" w:cs="Arial"/>
        </w:rPr>
        <w:t>611</w:t>
      </w:r>
      <w:r w:rsidRPr="00AC3356">
        <w:rPr>
          <w:rFonts w:ascii="Arial" w:hAnsi="Arial" w:cs="Arial"/>
        </w:rPr>
        <w:t>k</w:t>
      </w:r>
      <w:r w:rsidR="008749E9" w:rsidRPr="00AC3356">
        <w:rPr>
          <w:rFonts w:ascii="Arial" w:hAnsi="Arial" w:cs="Arial"/>
        </w:rPr>
        <w:t>)</w:t>
      </w:r>
      <w:r w:rsidRPr="002E3101">
        <w:rPr>
          <w:rFonts w:ascii="Arial" w:hAnsi="Arial" w:cs="Arial"/>
        </w:rPr>
        <w:t xml:space="preserve"> YTD; and</w:t>
      </w:r>
    </w:p>
    <w:p w:rsidR="00354084" w:rsidRPr="002E3101" w:rsidRDefault="007F68FF" w:rsidP="005360F9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Non-core Expenditure – </w:t>
      </w:r>
      <w:proofErr w:type="spellStart"/>
      <w:r>
        <w:rPr>
          <w:rFonts w:ascii="Arial" w:hAnsi="Arial" w:cs="Arial"/>
        </w:rPr>
        <w:t>und</w:t>
      </w:r>
      <w:r w:rsidR="00354084" w:rsidRPr="002E3101">
        <w:rPr>
          <w:rFonts w:ascii="Arial" w:hAnsi="Arial" w:cs="Arial"/>
        </w:rPr>
        <w:t>erspend</w:t>
      </w:r>
      <w:proofErr w:type="spellEnd"/>
      <w:r w:rsidR="00354084" w:rsidRPr="002E3101">
        <w:rPr>
          <w:rFonts w:ascii="Arial" w:hAnsi="Arial" w:cs="Arial"/>
        </w:rPr>
        <w:t xml:space="preserve"> of </w:t>
      </w:r>
      <w:r w:rsidR="006C162F">
        <w:rPr>
          <w:rFonts w:ascii="Arial" w:hAnsi="Arial" w:cs="Arial"/>
        </w:rPr>
        <w:t>£</w:t>
      </w:r>
      <w:r w:rsidR="00AC629B">
        <w:rPr>
          <w:rFonts w:ascii="Arial" w:hAnsi="Arial" w:cs="Arial"/>
        </w:rPr>
        <w:t>3</w:t>
      </w:r>
      <w:r w:rsidR="00354084" w:rsidRPr="002E3101">
        <w:rPr>
          <w:rFonts w:ascii="Arial" w:hAnsi="Arial" w:cs="Arial"/>
        </w:rPr>
        <w:t>k YTD.</w:t>
      </w:r>
    </w:p>
    <w:p w:rsidR="00354084" w:rsidRPr="002E3101" w:rsidRDefault="00354084" w:rsidP="005360F9">
      <w:pPr>
        <w:pStyle w:val="BodyTextIndent2"/>
        <w:ind w:left="0"/>
        <w:jc w:val="left"/>
        <w:rPr>
          <w:rFonts w:ascii="Arial" w:hAnsi="Arial" w:cs="Arial"/>
        </w:rPr>
      </w:pPr>
    </w:p>
    <w:p w:rsidR="00354084" w:rsidRDefault="00354084" w:rsidP="005360F9">
      <w:pPr>
        <w:pStyle w:val="BodyTextIndent2"/>
        <w:ind w:left="360"/>
        <w:jc w:val="left"/>
        <w:rPr>
          <w:rFonts w:ascii="Arial" w:hAnsi="Arial" w:cs="Arial"/>
        </w:rPr>
      </w:pPr>
      <w:r w:rsidRPr="002E3101">
        <w:rPr>
          <w:rFonts w:ascii="Arial" w:hAnsi="Arial" w:cs="Arial"/>
        </w:rPr>
        <w:t xml:space="preserve">The summary income and expenditure is included at appendix one. </w:t>
      </w:r>
      <w:r>
        <w:rPr>
          <w:rFonts w:ascii="Arial" w:hAnsi="Arial" w:cs="Arial"/>
        </w:rPr>
        <w:t>The key points in our income and expenditure to highlight are detailed below (efficiency savin</w:t>
      </w:r>
      <w:r w:rsidR="008749E9">
        <w:rPr>
          <w:rFonts w:ascii="Arial" w:hAnsi="Arial" w:cs="Arial"/>
        </w:rPr>
        <w:t>gs are discussed in section six</w:t>
      </w:r>
      <w:r>
        <w:rPr>
          <w:rFonts w:ascii="Arial" w:hAnsi="Arial" w:cs="Arial"/>
        </w:rPr>
        <w:t>);</w:t>
      </w:r>
    </w:p>
    <w:p w:rsidR="00354084" w:rsidRDefault="00354084" w:rsidP="005360F9">
      <w:pPr>
        <w:pStyle w:val="BodyTextIndent2"/>
        <w:ind w:left="360"/>
        <w:jc w:val="left"/>
        <w:rPr>
          <w:rFonts w:ascii="Arial" w:hAnsi="Arial" w:cs="Arial"/>
        </w:rPr>
      </w:pPr>
    </w:p>
    <w:p w:rsidR="00354084" w:rsidRPr="00345B4F" w:rsidRDefault="00354084" w:rsidP="005360F9">
      <w:pPr>
        <w:pStyle w:val="BodyTextIndent2"/>
        <w:ind w:left="360"/>
        <w:jc w:val="left"/>
        <w:rPr>
          <w:rFonts w:ascii="Arial" w:hAnsi="Arial" w:cs="Arial"/>
          <w:b/>
        </w:rPr>
      </w:pPr>
      <w:r w:rsidRPr="00345B4F">
        <w:rPr>
          <w:rFonts w:ascii="Arial" w:hAnsi="Arial" w:cs="Arial"/>
          <w:b/>
        </w:rPr>
        <w:t>Income</w:t>
      </w:r>
    </w:p>
    <w:p w:rsidR="002E6C31" w:rsidRPr="00B745F7" w:rsidRDefault="002E6C31" w:rsidP="005360F9">
      <w:pPr>
        <w:pStyle w:val="BodyTextIndent2"/>
        <w:ind w:left="360"/>
        <w:jc w:val="left"/>
        <w:rPr>
          <w:rFonts w:ascii="Arial" w:hAnsi="Arial" w:cs="Arial"/>
          <w:u w:val="single"/>
        </w:rPr>
      </w:pPr>
    </w:p>
    <w:p w:rsidR="00A17E08" w:rsidRDefault="00354084" w:rsidP="00345B4F">
      <w:pPr>
        <w:pStyle w:val="BodyTextIndent3"/>
        <w:numPr>
          <w:ilvl w:val="0"/>
          <w:numId w:val="34"/>
        </w:numPr>
        <w:jc w:val="left"/>
        <w:rPr>
          <w:rFonts w:ascii="Arial" w:hAnsi="Arial" w:cs="Arial"/>
          <w:iCs w:val="0"/>
        </w:rPr>
      </w:pPr>
      <w:r w:rsidRPr="00B745F7">
        <w:rPr>
          <w:rFonts w:ascii="Arial" w:hAnsi="Arial" w:cs="Arial"/>
        </w:rPr>
        <w:t xml:space="preserve">This is </w:t>
      </w:r>
      <w:r w:rsidR="007F68FF" w:rsidRPr="00B745F7">
        <w:rPr>
          <w:rFonts w:ascii="Arial" w:hAnsi="Arial" w:cs="Arial"/>
        </w:rPr>
        <w:t>showing a continued improvement in</w:t>
      </w:r>
      <w:r w:rsidR="008749E9" w:rsidRPr="00B745F7">
        <w:rPr>
          <w:rFonts w:ascii="Arial" w:hAnsi="Arial" w:cs="Arial"/>
        </w:rPr>
        <w:t xml:space="preserve"> </w:t>
      </w:r>
      <w:r w:rsidRPr="00B745F7">
        <w:rPr>
          <w:rFonts w:ascii="Arial" w:hAnsi="Arial" w:cs="Arial"/>
        </w:rPr>
        <w:t>performance against plan for</w:t>
      </w:r>
      <w:r w:rsidR="00956422" w:rsidRPr="00B745F7">
        <w:rPr>
          <w:rFonts w:ascii="Arial" w:hAnsi="Arial" w:cs="Arial"/>
        </w:rPr>
        <w:t xml:space="preserve"> Research and D</w:t>
      </w:r>
      <w:r w:rsidR="008749E9" w:rsidRPr="00B745F7">
        <w:rPr>
          <w:rFonts w:ascii="Arial" w:hAnsi="Arial" w:cs="Arial"/>
        </w:rPr>
        <w:t>evelopment</w:t>
      </w:r>
      <w:r w:rsidR="00D178A8" w:rsidRPr="00B745F7">
        <w:rPr>
          <w:rFonts w:ascii="Arial" w:hAnsi="Arial" w:cs="Arial"/>
        </w:rPr>
        <w:t xml:space="preserve"> projects</w:t>
      </w:r>
      <w:r w:rsidR="00B745F7" w:rsidRPr="00B745F7">
        <w:rPr>
          <w:rFonts w:ascii="Arial" w:hAnsi="Arial" w:cs="Arial"/>
        </w:rPr>
        <w:t xml:space="preserve"> and other income</w:t>
      </w:r>
      <w:r w:rsidR="00D178A8" w:rsidRPr="00B745F7">
        <w:rPr>
          <w:rFonts w:ascii="Arial" w:hAnsi="Arial" w:cs="Arial"/>
        </w:rPr>
        <w:t>,</w:t>
      </w:r>
      <w:r w:rsidR="007F68FF" w:rsidRPr="00B745F7">
        <w:rPr>
          <w:rFonts w:ascii="Arial" w:hAnsi="Arial" w:cs="Arial"/>
        </w:rPr>
        <w:t xml:space="preserve"> </w:t>
      </w:r>
      <w:r w:rsidR="007671BE">
        <w:rPr>
          <w:rFonts w:ascii="Arial" w:hAnsi="Arial" w:cs="Arial"/>
        </w:rPr>
        <w:t>which</w:t>
      </w:r>
      <w:r w:rsidR="008749E9" w:rsidRPr="00B745F7">
        <w:rPr>
          <w:rFonts w:ascii="Arial" w:hAnsi="Arial" w:cs="Arial"/>
        </w:rPr>
        <w:t xml:space="preserve"> offsets </w:t>
      </w:r>
      <w:r w:rsidR="00B745F7" w:rsidRPr="00B745F7">
        <w:rPr>
          <w:rFonts w:ascii="Arial" w:hAnsi="Arial" w:cs="Arial"/>
        </w:rPr>
        <w:t xml:space="preserve">the reported </w:t>
      </w:r>
      <w:r w:rsidR="008749E9" w:rsidRPr="00B745F7">
        <w:rPr>
          <w:rFonts w:ascii="Arial" w:hAnsi="Arial" w:cs="Arial"/>
        </w:rPr>
        <w:t>performance behind plan for the Golden Jubilee conference Hotel</w:t>
      </w:r>
      <w:r w:rsidR="00D178A8">
        <w:rPr>
          <w:rFonts w:ascii="Arial" w:hAnsi="Arial" w:cs="Arial"/>
        </w:rPr>
        <w:t xml:space="preserve"> </w:t>
      </w:r>
    </w:p>
    <w:p w:rsidR="002E75CE" w:rsidRDefault="002E75CE" w:rsidP="00DD3FAB">
      <w:pPr>
        <w:pStyle w:val="BodyTextIndent3"/>
        <w:ind w:left="1080"/>
        <w:jc w:val="left"/>
        <w:rPr>
          <w:rFonts w:ascii="Arial" w:hAnsi="Arial" w:cs="Arial"/>
        </w:rPr>
      </w:pPr>
    </w:p>
    <w:p w:rsidR="00354084" w:rsidRPr="00345B4F" w:rsidRDefault="00DD1E45" w:rsidP="002178A3">
      <w:pPr>
        <w:pStyle w:val="BodyTextIndent3"/>
        <w:jc w:val="left"/>
        <w:rPr>
          <w:rFonts w:ascii="Arial" w:hAnsi="Arial" w:cs="Arial"/>
          <w:b/>
        </w:rPr>
      </w:pPr>
      <w:r w:rsidRPr="00345B4F">
        <w:rPr>
          <w:rFonts w:ascii="Arial" w:hAnsi="Arial" w:cs="Arial"/>
          <w:b/>
        </w:rPr>
        <w:t>Expenditure</w:t>
      </w:r>
    </w:p>
    <w:p w:rsidR="002E6C31" w:rsidRPr="0071751D" w:rsidRDefault="002E6C31" w:rsidP="002178A3">
      <w:pPr>
        <w:pStyle w:val="BodyTextIndent3"/>
        <w:jc w:val="left"/>
        <w:rPr>
          <w:rFonts w:ascii="Arial" w:hAnsi="Arial" w:cs="Arial"/>
          <w:u w:val="single"/>
        </w:rPr>
      </w:pPr>
    </w:p>
    <w:p w:rsidR="002E6C31" w:rsidRPr="0071751D" w:rsidRDefault="00DD1E45" w:rsidP="005F2F8F">
      <w:pPr>
        <w:pStyle w:val="BodyTextIndent3"/>
        <w:numPr>
          <w:ilvl w:val="0"/>
          <w:numId w:val="16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As with prior months</w:t>
      </w:r>
      <w:r w:rsidR="00345B4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Pay pressure within</w:t>
      </w:r>
      <w:r w:rsidR="00345B4F">
        <w:rPr>
          <w:rFonts w:ascii="Arial" w:hAnsi="Arial" w:cs="Arial"/>
        </w:rPr>
        <w:t xml:space="preserve"> Medical staff pay costs remains</w:t>
      </w:r>
      <w:r>
        <w:rPr>
          <w:rFonts w:ascii="Arial" w:hAnsi="Arial" w:cs="Arial"/>
        </w:rPr>
        <w:t xml:space="preserve"> an issue due to cover for vacancies</w:t>
      </w:r>
      <w:r w:rsidR="00A508AF" w:rsidRPr="005F2F8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unplanned leave and therefore the need for additional waiting list sessions</w:t>
      </w:r>
      <w:r w:rsidR="00AC629B">
        <w:rPr>
          <w:rFonts w:ascii="Arial" w:hAnsi="Arial" w:cs="Arial"/>
        </w:rPr>
        <w:t xml:space="preserve"> and flexible cover</w:t>
      </w:r>
      <w:r>
        <w:rPr>
          <w:rFonts w:ascii="Arial" w:hAnsi="Arial" w:cs="Arial"/>
        </w:rPr>
        <w:t xml:space="preserve">. </w:t>
      </w:r>
    </w:p>
    <w:p w:rsidR="005F2F8F" w:rsidRPr="0071751D" w:rsidRDefault="005F2F8F" w:rsidP="005F2F8F">
      <w:pPr>
        <w:pStyle w:val="BodyTextIndent3"/>
        <w:ind w:left="720"/>
        <w:jc w:val="left"/>
        <w:rPr>
          <w:rFonts w:ascii="Arial" w:hAnsi="Arial" w:cs="Arial"/>
        </w:rPr>
      </w:pPr>
    </w:p>
    <w:p w:rsidR="00354084" w:rsidRPr="00693B97" w:rsidRDefault="00DD1E45" w:rsidP="00810A57">
      <w:pPr>
        <w:pStyle w:val="BodyTextIndent3"/>
        <w:numPr>
          <w:ilvl w:val="0"/>
          <w:numId w:val="16"/>
        </w:numPr>
        <w:jc w:val="lef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Overal</w:t>
      </w:r>
      <w:r w:rsidR="00E71E60">
        <w:rPr>
          <w:rFonts w:ascii="Arial" w:hAnsi="Arial" w:cs="Arial"/>
        </w:rPr>
        <w:t>l</w:t>
      </w:r>
      <w:r w:rsidR="00345B4F">
        <w:rPr>
          <w:rFonts w:ascii="Arial" w:hAnsi="Arial" w:cs="Arial"/>
        </w:rPr>
        <w:t>,</w:t>
      </w:r>
      <w:r w:rsidR="00E71E60">
        <w:rPr>
          <w:rFonts w:ascii="Arial" w:hAnsi="Arial" w:cs="Arial"/>
        </w:rPr>
        <w:t>nursing</w:t>
      </w:r>
      <w:proofErr w:type="spellEnd"/>
      <w:r w:rsidR="00E71E60">
        <w:rPr>
          <w:rFonts w:ascii="Arial" w:hAnsi="Arial" w:cs="Arial"/>
        </w:rPr>
        <w:t xml:space="preserve"> retains a positive</w:t>
      </w:r>
      <w:r w:rsidR="00354084">
        <w:rPr>
          <w:rFonts w:ascii="Arial" w:hAnsi="Arial" w:cs="Arial"/>
        </w:rPr>
        <w:t xml:space="preserve"> financial position with cost pressure</w:t>
      </w:r>
      <w:r w:rsidR="00D178A8">
        <w:rPr>
          <w:rFonts w:ascii="Arial" w:hAnsi="Arial" w:cs="Arial"/>
        </w:rPr>
        <w:t>s</w:t>
      </w:r>
      <w:r w:rsidR="00354084">
        <w:rPr>
          <w:rFonts w:ascii="Arial" w:hAnsi="Arial" w:cs="Arial"/>
        </w:rPr>
        <w:t xml:space="preserve"> </w:t>
      </w:r>
      <w:r w:rsidR="00D178A8">
        <w:rPr>
          <w:rFonts w:ascii="Arial" w:hAnsi="Arial" w:cs="Arial"/>
        </w:rPr>
        <w:t xml:space="preserve">noted </w:t>
      </w:r>
      <w:r w:rsidR="00354084">
        <w:rPr>
          <w:rFonts w:ascii="Arial" w:hAnsi="Arial" w:cs="Arial"/>
        </w:rPr>
        <w:t xml:space="preserve">within Cardiology wards and </w:t>
      </w:r>
      <w:proofErr w:type="spellStart"/>
      <w:r w:rsidR="00354084">
        <w:rPr>
          <w:rFonts w:ascii="Arial" w:hAnsi="Arial" w:cs="Arial"/>
        </w:rPr>
        <w:t>Cath</w:t>
      </w:r>
      <w:proofErr w:type="spellEnd"/>
      <w:r w:rsidR="00354084">
        <w:rPr>
          <w:rFonts w:ascii="Arial" w:hAnsi="Arial" w:cs="Arial"/>
        </w:rPr>
        <w:t xml:space="preserve"> Lab </w:t>
      </w:r>
      <w:r w:rsidR="004E3C41">
        <w:rPr>
          <w:rFonts w:ascii="Arial" w:hAnsi="Arial" w:cs="Arial"/>
        </w:rPr>
        <w:t>and these are</w:t>
      </w:r>
      <w:r w:rsidR="001B22F6">
        <w:rPr>
          <w:rFonts w:ascii="Arial" w:hAnsi="Arial" w:cs="Arial"/>
        </w:rPr>
        <w:t xml:space="preserve"> offset </w:t>
      </w:r>
      <w:r w:rsidR="00354084">
        <w:rPr>
          <w:rFonts w:ascii="Arial" w:hAnsi="Arial" w:cs="Arial"/>
        </w:rPr>
        <w:t>by under-spends within Surgical Services</w:t>
      </w:r>
      <w:r w:rsidR="00E71E60">
        <w:rPr>
          <w:rFonts w:ascii="Arial" w:hAnsi="Arial" w:cs="Arial"/>
        </w:rPr>
        <w:t xml:space="preserve"> </w:t>
      </w:r>
      <w:r w:rsidR="00AC629B">
        <w:rPr>
          <w:rFonts w:ascii="Arial" w:hAnsi="Arial" w:cs="Arial"/>
        </w:rPr>
        <w:t xml:space="preserve">Theatre Nursing, </w:t>
      </w:r>
      <w:r w:rsidR="00A508AF">
        <w:rPr>
          <w:rFonts w:ascii="Arial" w:hAnsi="Arial" w:cs="Arial"/>
        </w:rPr>
        <w:t>outpatients and</w:t>
      </w:r>
      <w:r w:rsidR="005F2F8F">
        <w:rPr>
          <w:rFonts w:ascii="Arial" w:hAnsi="Arial" w:cs="Arial"/>
        </w:rPr>
        <w:t xml:space="preserve"> critical care service</w:t>
      </w:r>
      <w:r w:rsidR="00354084">
        <w:rPr>
          <w:rFonts w:ascii="Arial" w:hAnsi="Arial" w:cs="Arial"/>
        </w:rPr>
        <w:t xml:space="preserve">. </w:t>
      </w:r>
    </w:p>
    <w:p w:rsidR="00354084" w:rsidRDefault="00354084" w:rsidP="006A30DD">
      <w:pPr>
        <w:pStyle w:val="BodyTextIndent3"/>
        <w:ind w:left="720"/>
        <w:jc w:val="left"/>
        <w:rPr>
          <w:rFonts w:ascii="Arial" w:hAnsi="Arial" w:cs="Arial"/>
        </w:rPr>
      </w:pPr>
    </w:p>
    <w:p w:rsidR="005F2F8F" w:rsidRDefault="007E58C0" w:rsidP="005F2F8F">
      <w:pPr>
        <w:pStyle w:val="BodyTextIndent3"/>
        <w:numPr>
          <w:ilvl w:val="0"/>
          <w:numId w:val="32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F2F8F">
        <w:rPr>
          <w:rFonts w:ascii="Arial" w:hAnsi="Arial" w:cs="Arial"/>
        </w:rPr>
        <w:t>he non-pays position within Core Expen</w:t>
      </w:r>
      <w:r w:rsidR="00AC629B">
        <w:rPr>
          <w:rFonts w:ascii="Arial" w:hAnsi="Arial" w:cs="Arial"/>
        </w:rPr>
        <w:t xml:space="preserve">diture and specifically </w:t>
      </w:r>
      <w:r w:rsidR="00A21F2D">
        <w:rPr>
          <w:rFonts w:ascii="Arial" w:hAnsi="Arial" w:cs="Arial"/>
        </w:rPr>
        <w:t xml:space="preserve">corporate supplies and reserves </w:t>
      </w:r>
      <w:r w:rsidR="005F2F8F">
        <w:rPr>
          <w:rFonts w:ascii="Arial" w:hAnsi="Arial" w:cs="Arial"/>
        </w:rPr>
        <w:t>has see</w:t>
      </w:r>
      <w:r w:rsidR="00A21F2D">
        <w:rPr>
          <w:rFonts w:ascii="Arial" w:hAnsi="Arial" w:cs="Arial"/>
        </w:rPr>
        <w:t>n</w:t>
      </w:r>
      <w:r w:rsidR="00AC629B">
        <w:rPr>
          <w:rFonts w:ascii="Arial" w:hAnsi="Arial" w:cs="Arial"/>
        </w:rPr>
        <w:t xml:space="preserve"> an adverse movement during March</w:t>
      </w:r>
      <w:r w:rsidR="005F2F8F">
        <w:rPr>
          <w:rFonts w:ascii="Arial" w:hAnsi="Arial" w:cs="Arial"/>
        </w:rPr>
        <w:t xml:space="preserve"> 2018. </w:t>
      </w:r>
      <w:r w:rsidR="001847BB">
        <w:rPr>
          <w:rFonts w:ascii="Arial" w:hAnsi="Arial" w:cs="Arial"/>
        </w:rPr>
        <w:t>This is due to planned expenditure</w:t>
      </w:r>
      <w:r w:rsidR="004E3C41">
        <w:rPr>
          <w:rFonts w:ascii="Arial" w:hAnsi="Arial" w:cs="Arial"/>
        </w:rPr>
        <w:t xml:space="preserve"> and</w:t>
      </w:r>
      <w:r w:rsidR="005F2F8F">
        <w:rPr>
          <w:rFonts w:ascii="Arial" w:hAnsi="Arial" w:cs="Arial"/>
        </w:rPr>
        <w:t xml:space="preserve"> </w:t>
      </w:r>
      <w:r w:rsidR="00875E3B">
        <w:rPr>
          <w:rFonts w:ascii="Arial" w:hAnsi="Arial" w:cs="Arial"/>
        </w:rPr>
        <w:t xml:space="preserve">is aligned </w:t>
      </w:r>
      <w:r w:rsidR="0071751D">
        <w:rPr>
          <w:rFonts w:ascii="Arial" w:hAnsi="Arial" w:cs="Arial"/>
        </w:rPr>
        <w:t>with</w:t>
      </w:r>
      <w:r w:rsidR="005F2F8F">
        <w:rPr>
          <w:rFonts w:ascii="Arial" w:hAnsi="Arial" w:cs="Arial"/>
        </w:rPr>
        <w:t xml:space="preserve"> </w:t>
      </w:r>
      <w:r w:rsidR="006E3F49">
        <w:rPr>
          <w:rFonts w:ascii="Arial" w:hAnsi="Arial" w:cs="Arial"/>
        </w:rPr>
        <w:t>year-end</w:t>
      </w:r>
      <w:r w:rsidR="001847BB">
        <w:rPr>
          <w:rFonts w:ascii="Arial" w:hAnsi="Arial" w:cs="Arial"/>
        </w:rPr>
        <w:t xml:space="preserve"> </w:t>
      </w:r>
      <w:r w:rsidR="005F2F8F">
        <w:rPr>
          <w:rFonts w:ascii="Arial" w:hAnsi="Arial" w:cs="Arial"/>
        </w:rPr>
        <w:t>budget phasing and financial plans.</w:t>
      </w:r>
    </w:p>
    <w:p w:rsidR="005F2F8F" w:rsidRDefault="005F2F8F" w:rsidP="006A30DD">
      <w:pPr>
        <w:pStyle w:val="BodyTextIndent3"/>
        <w:ind w:left="720"/>
        <w:jc w:val="left"/>
        <w:rPr>
          <w:rFonts w:ascii="Arial" w:hAnsi="Arial" w:cs="Arial"/>
        </w:rPr>
      </w:pPr>
    </w:p>
    <w:p w:rsidR="00354084" w:rsidRDefault="00354084" w:rsidP="005F2F8F">
      <w:pPr>
        <w:pStyle w:val="BodyTextIndent3"/>
        <w:numPr>
          <w:ilvl w:val="0"/>
          <w:numId w:val="16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Surg</w:t>
      </w:r>
      <w:r w:rsidR="00C15569">
        <w:rPr>
          <w:rFonts w:ascii="Arial" w:hAnsi="Arial" w:cs="Arial"/>
        </w:rPr>
        <w:t xml:space="preserve">ical Supplies </w:t>
      </w:r>
      <w:r w:rsidR="004E3C41">
        <w:rPr>
          <w:rFonts w:ascii="Arial" w:hAnsi="Arial" w:cs="Arial"/>
        </w:rPr>
        <w:t xml:space="preserve">year to date </w:t>
      </w:r>
      <w:r w:rsidR="00C15569">
        <w:rPr>
          <w:rFonts w:ascii="Arial" w:hAnsi="Arial" w:cs="Arial"/>
        </w:rPr>
        <w:t xml:space="preserve">continues with </w:t>
      </w:r>
      <w:proofErr w:type="gramStart"/>
      <w:r w:rsidR="00C15569">
        <w:rPr>
          <w:rFonts w:ascii="Arial" w:hAnsi="Arial" w:cs="Arial"/>
        </w:rPr>
        <w:t xml:space="preserve">an </w:t>
      </w:r>
      <w:proofErr w:type="spellStart"/>
      <w:r>
        <w:rPr>
          <w:rFonts w:ascii="Arial" w:hAnsi="Arial" w:cs="Arial"/>
        </w:rPr>
        <w:t>underspend</w:t>
      </w:r>
      <w:proofErr w:type="spellEnd"/>
      <w:proofErr w:type="gramEnd"/>
      <w:r w:rsidR="00345B4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mostly attributable to Theatres and Cardiology</w:t>
      </w:r>
      <w:r w:rsidR="004E3C41">
        <w:rPr>
          <w:rFonts w:ascii="Arial" w:hAnsi="Arial" w:cs="Arial"/>
        </w:rPr>
        <w:t xml:space="preserve"> Devices as a result of realised </w:t>
      </w:r>
      <w:r>
        <w:rPr>
          <w:rFonts w:ascii="Arial" w:hAnsi="Arial" w:cs="Arial"/>
        </w:rPr>
        <w:t>e</w:t>
      </w:r>
      <w:r w:rsidR="00E71E60">
        <w:rPr>
          <w:rFonts w:ascii="Arial" w:hAnsi="Arial" w:cs="Arial"/>
        </w:rPr>
        <w:t>fficiency benefits</w:t>
      </w:r>
      <w:r>
        <w:rPr>
          <w:rFonts w:ascii="Arial" w:hAnsi="Arial" w:cs="Arial"/>
        </w:rPr>
        <w:t>.</w:t>
      </w:r>
      <w:r w:rsidR="004E3C41">
        <w:rPr>
          <w:rFonts w:ascii="Arial" w:hAnsi="Arial" w:cs="Arial"/>
        </w:rPr>
        <w:t xml:space="preserve"> In month reflects an adverse position as a result of planned expenditure and year-end stock adjustments.</w:t>
      </w:r>
    </w:p>
    <w:p w:rsidR="00354084" w:rsidRPr="002E3101" w:rsidRDefault="00354084" w:rsidP="005360F9">
      <w:pPr>
        <w:pStyle w:val="BodyTextIndent2"/>
        <w:ind w:left="0"/>
        <w:jc w:val="left"/>
        <w:rPr>
          <w:rFonts w:ascii="Arial" w:hAnsi="Arial" w:cs="Arial"/>
        </w:rPr>
      </w:pPr>
    </w:p>
    <w:p w:rsidR="00354084" w:rsidRDefault="0071751D" w:rsidP="00255F24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Board </w:t>
      </w:r>
      <w:r w:rsidR="004E3C41">
        <w:rPr>
          <w:rFonts w:ascii="Arial" w:hAnsi="Arial" w:cs="Arial"/>
        </w:rPr>
        <w:t xml:space="preserve">has </w:t>
      </w:r>
      <w:r w:rsidR="00354084" w:rsidRPr="00F551E5">
        <w:rPr>
          <w:rFonts w:ascii="Arial" w:hAnsi="Arial" w:cs="Arial"/>
        </w:rPr>
        <w:t>achieve</w:t>
      </w:r>
      <w:r w:rsidR="004E3C41">
        <w:rPr>
          <w:rFonts w:ascii="Arial" w:hAnsi="Arial" w:cs="Arial"/>
        </w:rPr>
        <w:t>d</w:t>
      </w:r>
      <w:r w:rsidR="00354084" w:rsidRPr="00F551E5">
        <w:rPr>
          <w:rFonts w:ascii="Arial" w:hAnsi="Arial" w:cs="Arial"/>
        </w:rPr>
        <w:t xml:space="preserve"> the target agreed with the Scottish Government Health and Social Care Directorate </w:t>
      </w:r>
      <w:r w:rsidR="00345B4F">
        <w:rPr>
          <w:rFonts w:ascii="Arial" w:hAnsi="Arial" w:cs="Arial"/>
        </w:rPr>
        <w:t xml:space="preserve">(SGHSCD) </w:t>
      </w:r>
      <w:r w:rsidR="004E3C41">
        <w:rPr>
          <w:rFonts w:ascii="Arial" w:hAnsi="Arial" w:cs="Arial"/>
        </w:rPr>
        <w:t xml:space="preserve">reflecting a small surplus of £3k </w:t>
      </w:r>
      <w:r w:rsidR="00354084" w:rsidRPr="00F551E5">
        <w:rPr>
          <w:rFonts w:ascii="Arial" w:hAnsi="Arial" w:cs="Arial"/>
        </w:rPr>
        <w:t>and in line with the Boards</w:t>
      </w:r>
      <w:r w:rsidR="004E3C41">
        <w:rPr>
          <w:rFonts w:ascii="Arial" w:hAnsi="Arial" w:cs="Arial"/>
        </w:rPr>
        <w:t xml:space="preserve"> 2017/18</w:t>
      </w:r>
      <w:r w:rsidR="00354084" w:rsidRPr="00F551E5">
        <w:rPr>
          <w:rFonts w:ascii="Arial" w:hAnsi="Arial" w:cs="Arial"/>
        </w:rPr>
        <w:t xml:space="preserve"> </w:t>
      </w:r>
      <w:r w:rsidR="004E3C41">
        <w:rPr>
          <w:rFonts w:ascii="Arial" w:hAnsi="Arial" w:cs="Arial"/>
        </w:rPr>
        <w:t xml:space="preserve">breakeven </w:t>
      </w:r>
      <w:r w:rsidR="00354084" w:rsidRPr="00F551E5">
        <w:rPr>
          <w:rFonts w:ascii="Arial" w:hAnsi="Arial" w:cs="Arial"/>
        </w:rPr>
        <w:t>financial plan</w:t>
      </w:r>
      <w:r w:rsidR="004E3C41">
        <w:rPr>
          <w:rFonts w:ascii="Arial" w:hAnsi="Arial" w:cs="Arial"/>
        </w:rPr>
        <w:t>s</w:t>
      </w:r>
      <w:r w:rsidR="00354084" w:rsidRPr="00F551E5">
        <w:rPr>
          <w:rFonts w:ascii="Arial" w:hAnsi="Arial" w:cs="Arial"/>
        </w:rPr>
        <w:t xml:space="preserve">.  </w:t>
      </w:r>
    </w:p>
    <w:p w:rsidR="00451C6F" w:rsidRDefault="00451C6F" w:rsidP="00D05D56">
      <w:pPr>
        <w:ind w:left="360" w:right="-514"/>
        <w:rPr>
          <w:rFonts w:ascii="Arial" w:hAnsi="Arial" w:cs="Arial"/>
          <w:bCs/>
          <w:iCs/>
        </w:rPr>
      </w:pPr>
    </w:p>
    <w:p w:rsidR="00C70901" w:rsidRDefault="00C70901" w:rsidP="00D05D56">
      <w:pPr>
        <w:ind w:left="360" w:right="-514"/>
        <w:rPr>
          <w:rFonts w:ascii="Arial" w:hAnsi="Arial" w:cs="Arial"/>
          <w:bCs/>
          <w:iCs/>
        </w:rPr>
      </w:pPr>
    </w:p>
    <w:p w:rsidR="00451C6F" w:rsidRDefault="00451C6F" w:rsidP="00451C6F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Capital Out-turn for 2017/18</w:t>
      </w:r>
    </w:p>
    <w:p w:rsidR="00451C6F" w:rsidRPr="00D313A8" w:rsidRDefault="00451C6F" w:rsidP="00451C6F"/>
    <w:p w:rsidR="00451C6F" w:rsidRDefault="00451C6F" w:rsidP="00451C6F">
      <w:pPr>
        <w:pStyle w:val="BodyTextIndent2"/>
        <w:ind w:left="360"/>
        <w:jc w:val="left"/>
        <w:rPr>
          <w:rFonts w:ascii="Arial" w:hAnsi="Arial" w:cs="Arial"/>
        </w:rPr>
      </w:pPr>
      <w:r w:rsidRPr="0024561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capital spend for </w:t>
      </w:r>
      <w:r w:rsidR="00CA4119">
        <w:rPr>
          <w:rFonts w:ascii="Arial" w:hAnsi="Arial" w:cs="Arial"/>
        </w:rPr>
        <w:t>2017/18</w:t>
      </w:r>
      <w:r>
        <w:rPr>
          <w:rFonts w:ascii="Arial" w:hAnsi="Arial" w:cs="Arial"/>
        </w:rPr>
        <w:t xml:space="preserve"> was £</w:t>
      </w:r>
      <w:r w:rsidR="00CA4119">
        <w:rPr>
          <w:rFonts w:ascii="Arial" w:hAnsi="Arial" w:cs="Arial"/>
        </w:rPr>
        <w:t>7.</w:t>
      </w:r>
      <w:r w:rsidR="00784972">
        <w:rPr>
          <w:rFonts w:ascii="Arial" w:hAnsi="Arial" w:cs="Arial"/>
        </w:rPr>
        <w:t>436</w:t>
      </w:r>
      <w:r>
        <w:rPr>
          <w:rFonts w:ascii="Arial" w:hAnsi="Arial" w:cs="Arial"/>
        </w:rPr>
        <w:t>m against a budget of £</w:t>
      </w:r>
      <w:r w:rsidR="00CA4119">
        <w:rPr>
          <w:rFonts w:ascii="Arial" w:hAnsi="Arial" w:cs="Arial"/>
        </w:rPr>
        <w:t>7.</w:t>
      </w:r>
      <w:r w:rsidR="00784972">
        <w:rPr>
          <w:rFonts w:ascii="Arial" w:hAnsi="Arial" w:cs="Arial"/>
        </w:rPr>
        <w:t>436</w:t>
      </w:r>
      <w:r>
        <w:rPr>
          <w:rFonts w:ascii="Arial" w:hAnsi="Arial" w:cs="Arial"/>
        </w:rPr>
        <w:t xml:space="preserve">m thus demonstrating a breakeven position, this number </w:t>
      </w:r>
      <w:r w:rsidR="00784972">
        <w:rPr>
          <w:rFonts w:ascii="Arial" w:hAnsi="Arial" w:cs="Arial"/>
        </w:rPr>
        <w:t>has been</w:t>
      </w:r>
      <w:r>
        <w:rPr>
          <w:rFonts w:ascii="Arial" w:hAnsi="Arial" w:cs="Arial"/>
        </w:rPr>
        <w:t xml:space="preserve"> subject to audit. </w:t>
      </w:r>
      <w:r w:rsidR="00CA4119">
        <w:rPr>
          <w:rFonts w:ascii="Arial" w:hAnsi="Arial" w:cs="Arial"/>
        </w:rPr>
        <w:t xml:space="preserve">The </w:t>
      </w:r>
      <w:r w:rsidR="00290CCC">
        <w:rPr>
          <w:rFonts w:ascii="Arial" w:hAnsi="Arial" w:cs="Arial"/>
        </w:rPr>
        <w:t>breakdown of this spends</w:t>
      </w:r>
      <w:r w:rsidR="00CA4119">
        <w:rPr>
          <w:rFonts w:ascii="Arial" w:hAnsi="Arial" w:cs="Arial"/>
        </w:rPr>
        <w:t xml:space="preserve"> is noted below:</w:t>
      </w:r>
    </w:p>
    <w:p w:rsidR="00CA4119" w:rsidRDefault="00CA4119" w:rsidP="00451C6F">
      <w:pPr>
        <w:pStyle w:val="BodyTextIndent2"/>
        <w:ind w:left="360"/>
        <w:jc w:val="left"/>
        <w:rPr>
          <w:rFonts w:ascii="Arial" w:hAnsi="Arial" w:cs="Aria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2"/>
        <w:gridCol w:w="2053"/>
        <w:gridCol w:w="2023"/>
      </w:tblGrid>
      <w:tr w:rsidR="00CA4119" w:rsidRPr="0030194E" w:rsidTr="00DA6F9D">
        <w:tc>
          <w:tcPr>
            <w:tcW w:w="2042" w:type="dxa"/>
          </w:tcPr>
          <w:p w:rsidR="00CA4119" w:rsidRPr="0030194E" w:rsidRDefault="00290CCC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At year end</w:t>
            </w:r>
          </w:p>
        </w:tc>
        <w:tc>
          <w:tcPr>
            <w:tcW w:w="2053" w:type="dxa"/>
          </w:tcPr>
          <w:p w:rsidR="00CA4119" w:rsidRPr="0030194E" w:rsidRDefault="00CA4119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 xml:space="preserve">Allocation </w:t>
            </w:r>
          </w:p>
          <w:p w:rsidR="00CA4119" w:rsidRPr="0030194E" w:rsidRDefault="00CA4119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£’000</w:t>
            </w:r>
          </w:p>
        </w:tc>
        <w:tc>
          <w:tcPr>
            <w:tcW w:w="2023" w:type="dxa"/>
          </w:tcPr>
          <w:p w:rsidR="00CA4119" w:rsidRPr="0030194E" w:rsidRDefault="00CA4119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Spend to date</w:t>
            </w:r>
            <w:r w:rsidR="0030194E" w:rsidRPr="0030194E">
              <w:rPr>
                <w:rFonts w:ascii="Arial" w:hAnsi="Arial" w:cs="Arial"/>
              </w:rPr>
              <w:t xml:space="preserve"> year-end</w:t>
            </w:r>
          </w:p>
          <w:p w:rsidR="00CA4119" w:rsidRPr="0030194E" w:rsidRDefault="00CA4119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£’000</w:t>
            </w:r>
          </w:p>
        </w:tc>
      </w:tr>
      <w:tr w:rsidR="0017494A" w:rsidRPr="0030194E" w:rsidTr="00DA6F9D">
        <w:tc>
          <w:tcPr>
            <w:tcW w:w="2042" w:type="dxa"/>
          </w:tcPr>
          <w:p w:rsidR="0017494A" w:rsidRPr="0030194E" w:rsidRDefault="0017494A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Formula capital</w:t>
            </w:r>
          </w:p>
        </w:tc>
        <w:tc>
          <w:tcPr>
            <w:tcW w:w="2053" w:type="dxa"/>
          </w:tcPr>
          <w:p w:rsidR="0017494A" w:rsidRPr="0030194E" w:rsidRDefault="0017494A" w:rsidP="0017494A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4,288</w:t>
            </w:r>
          </w:p>
        </w:tc>
        <w:tc>
          <w:tcPr>
            <w:tcW w:w="2023" w:type="dxa"/>
          </w:tcPr>
          <w:p w:rsidR="0017494A" w:rsidRPr="0030194E" w:rsidRDefault="0017494A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4,288</w:t>
            </w:r>
          </w:p>
        </w:tc>
      </w:tr>
      <w:tr w:rsidR="0017494A" w:rsidRPr="0030194E" w:rsidTr="00DA6F9D">
        <w:tc>
          <w:tcPr>
            <w:tcW w:w="2042" w:type="dxa"/>
          </w:tcPr>
          <w:p w:rsidR="0017494A" w:rsidRPr="0030194E" w:rsidRDefault="0017494A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Capital Stimulus</w:t>
            </w:r>
          </w:p>
        </w:tc>
        <w:tc>
          <w:tcPr>
            <w:tcW w:w="2053" w:type="dxa"/>
          </w:tcPr>
          <w:p w:rsidR="0017494A" w:rsidRPr="0030194E" w:rsidRDefault="0017494A" w:rsidP="0017494A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2,4</w:t>
            </w:r>
            <w:r>
              <w:rPr>
                <w:rFonts w:ascii="Arial" w:hAnsi="Arial" w:cs="Arial"/>
              </w:rPr>
              <w:t>63</w:t>
            </w:r>
          </w:p>
        </w:tc>
        <w:tc>
          <w:tcPr>
            <w:tcW w:w="2023" w:type="dxa"/>
          </w:tcPr>
          <w:p w:rsidR="0017494A" w:rsidRPr="0030194E" w:rsidRDefault="0017494A" w:rsidP="00784972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2,4</w:t>
            </w:r>
            <w:r>
              <w:rPr>
                <w:rFonts w:ascii="Arial" w:hAnsi="Arial" w:cs="Arial"/>
              </w:rPr>
              <w:t>63</w:t>
            </w:r>
          </w:p>
        </w:tc>
      </w:tr>
      <w:tr w:rsidR="0017494A" w:rsidRPr="0030194E" w:rsidTr="00DA6F9D">
        <w:tc>
          <w:tcPr>
            <w:tcW w:w="2042" w:type="dxa"/>
          </w:tcPr>
          <w:p w:rsidR="0017494A" w:rsidRPr="0030194E" w:rsidRDefault="0017494A" w:rsidP="00DA6F9D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 w:rsidRPr="0030194E">
              <w:rPr>
                <w:rFonts w:ascii="Arial" w:hAnsi="Arial" w:cs="Arial"/>
              </w:rPr>
              <w:t>Elective Centre</w:t>
            </w:r>
          </w:p>
        </w:tc>
        <w:tc>
          <w:tcPr>
            <w:tcW w:w="2053" w:type="dxa"/>
          </w:tcPr>
          <w:p w:rsidR="0017494A" w:rsidRPr="0030194E" w:rsidRDefault="0017494A" w:rsidP="0017494A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</w:t>
            </w:r>
          </w:p>
        </w:tc>
        <w:tc>
          <w:tcPr>
            <w:tcW w:w="2023" w:type="dxa"/>
          </w:tcPr>
          <w:p w:rsidR="0017494A" w:rsidRPr="0030194E" w:rsidRDefault="0017494A" w:rsidP="0017494A">
            <w:pPr>
              <w:pStyle w:val="BodyTextIndent2"/>
              <w:ind w:lef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685</w:t>
            </w:r>
          </w:p>
        </w:tc>
      </w:tr>
      <w:tr w:rsidR="0017494A" w:rsidRPr="00F855FE" w:rsidTr="00DA6F9D">
        <w:tc>
          <w:tcPr>
            <w:tcW w:w="2042" w:type="dxa"/>
          </w:tcPr>
          <w:p w:rsidR="0017494A" w:rsidRPr="0030194E" w:rsidRDefault="0017494A" w:rsidP="00DA6F9D">
            <w:pPr>
              <w:pStyle w:val="BodyTextIndent2"/>
              <w:ind w:left="0"/>
              <w:jc w:val="left"/>
              <w:rPr>
                <w:rFonts w:ascii="Arial" w:hAnsi="Arial" w:cs="Arial"/>
                <w:b/>
              </w:rPr>
            </w:pPr>
            <w:r w:rsidRPr="0030194E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053" w:type="dxa"/>
          </w:tcPr>
          <w:p w:rsidR="0017494A" w:rsidRPr="0030194E" w:rsidRDefault="0017494A" w:rsidP="0017494A">
            <w:pPr>
              <w:pStyle w:val="BodyTextIndent2"/>
              <w:ind w:left="0"/>
              <w:jc w:val="left"/>
              <w:rPr>
                <w:rFonts w:ascii="Arial" w:hAnsi="Arial" w:cs="Arial"/>
                <w:b/>
              </w:rPr>
            </w:pPr>
            <w:r w:rsidRPr="0030194E">
              <w:rPr>
                <w:rFonts w:ascii="Arial" w:hAnsi="Arial" w:cs="Arial"/>
                <w:b/>
              </w:rPr>
              <w:t>7,</w:t>
            </w:r>
            <w:r>
              <w:rPr>
                <w:rFonts w:ascii="Arial" w:hAnsi="Arial" w:cs="Arial"/>
                <w:b/>
              </w:rPr>
              <w:t>436</w:t>
            </w:r>
          </w:p>
        </w:tc>
        <w:tc>
          <w:tcPr>
            <w:tcW w:w="2023" w:type="dxa"/>
          </w:tcPr>
          <w:p w:rsidR="0017494A" w:rsidRPr="0030194E" w:rsidRDefault="0017494A" w:rsidP="00784972">
            <w:pPr>
              <w:pStyle w:val="BodyTextIndent2"/>
              <w:ind w:left="0"/>
              <w:jc w:val="left"/>
              <w:rPr>
                <w:rFonts w:ascii="Arial" w:hAnsi="Arial" w:cs="Arial"/>
                <w:b/>
              </w:rPr>
            </w:pPr>
            <w:r w:rsidRPr="0030194E">
              <w:rPr>
                <w:rFonts w:ascii="Arial" w:hAnsi="Arial" w:cs="Arial"/>
                <w:b/>
              </w:rPr>
              <w:t>7,</w:t>
            </w:r>
            <w:r>
              <w:rPr>
                <w:rFonts w:ascii="Arial" w:hAnsi="Arial" w:cs="Arial"/>
                <w:b/>
              </w:rPr>
              <w:t>436</w:t>
            </w:r>
          </w:p>
        </w:tc>
      </w:tr>
    </w:tbl>
    <w:p w:rsidR="00D05D56" w:rsidRDefault="00D05D56" w:rsidP="00FC4EAC">
      <w:pPr>
        <w:ind w:right="-514"/>
        <w:rPr>
          <w:rFonts w:ascii="Arial" w:hAnsi="Arial" w:cs="Arial"/>
          <w:bCs/>
          <w:iCs/>
        </w:rPr>
      </w:pPr>
    </w:p>
    <w:p w:rsidR="00DA5518" w:rsidRDefault="00DA5518" w:rsidP="00155122">
      <w:pPr>
        <w:ind w:left="360" w:right="-514"/>
        <w:rPr>
          <w:rFonts w:ascii="Arial" w:hAnsi="Arial" w:cs="Arial"/>
          <w:bCs/>
          <w:iCs/>
        </w:rPr>
      </w:pPr>
      <w:r w:rsidRPr="00155122">
        <w:rPr>
          <w:rFonts w:ascii="Arial" w:hAnsi="Arial" w:cs="Arial"/>
        </w:rPr>
        <w:t>The position reported above has also been agreed with SGHSCD.  In addition the bala</w:t>
      </w:r>
      <w:r w:rsidR="00155122" w:rsidRPr="00155122">
        <w:rPr>
          <w:rFonts w:ascii="Arial" w:hAnsi="Arial" w:cs="Arial"/>
        </w:rPr>
        <w:t>nce of the capital stimulus money not utilised in year will be transferred to next year.  The total remaining balance of the £5m capital stimulus money will be utilised to fund the second CT scanner</w:t>
      </w:r>
      <w:r w:rsidR="00345B4F">
        <w:rPr>
          <w:rFonts w:ascii="Arial" w:hAnsi="Arial" w:cs="Arial"/>
        </w:rPr>
        <w:t xml:space="preserve">, </w:t>
      </w:r>
      <w:r w:rsidR="00155122" w:rsidRPr="00155122">
        <w:rPr>
          <w:rFonts w:ascii="Arial" w:hAnsi="Arial" w:cs="Arial"/>
        </w:rPr>
        <w:t>with any remaining funds thereafter</w:t>
      </w:r>
      <w:r w:rsidR="00155122">
        <w:rPr>
          <w:rFonts w:ascii="Arial" w:hAnsi="Arial" w:cs="Arial"/>
          <w:bCs/>
          <w:iCs/>
        </w:rPr>
        <w:t xml:space="preserve"> contributing the phase one of the expansion.</w:t>
      </w:r>
    </w:p>
    <w:p w:rsidR="00DA5518" w:rsidRDefault="00DA5518" w:rsidP="00FC4EAC">
      <w:pPr>
        <w:ind w:right="-514"/>
        <w:rPr>
          <w:rFonts w:ascii="Arial" w:hAnsi="Arial" w:cs="Arial"/>
          <w:bCs/>
          <w:iCs/>
        </w:rPr>
      </w:pPr>
    </w:p>
    <w:p w:rsidR="0030194E" w:rsidRPr="00ED1BC6" w:rsidRDefault="0030194E" w:rsidP="0030194E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ED1BC6">
        <w:rPr>
          <w:rFonts w:ascii="Arial" w:hAnsi="Arial" w:cs="Arial"/>
        </w:rPr>
        <w:t xml:space="preserve">Annual Accounts </w:t>
      </w:r>
      <w:r>
        <w:rPr>
          <w:rFonts w:ascii="Arial" w:hAnsi="Arial" w:cs="Arial"/>
        </w:rPr>
        <w:t>2017/18</w:t>
      </w:r>
    </w:p>
    <w:p w:rsidR="0030194E" w:rsidRPr="00C4595B" w:rsidRDefault="0030194E" w:rsidP="0030194E">
      <w:pPr>
        <w:rPr>
          <w:highlight w:val="cyan"/>
        </w:rPr>
      </w:pPr>
    </w:p>
    <w:p w:rsidR="0030194E" w:rsidRDefault="0030194E" w:rsidP="003019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annual audit of the Directors Report and Annual Accounts </w:t>
      </w:r>
      <w:r w:rsidR="00B77DA4">
        <w:rPr>
          <w:rFonts w:ascii="Arial" w:hAnsi="Arial" w:cs="Arial"/>
        </w:rPr>
        <w:t>has been</w:t>
      </w:r>
      <w:r>
        <w:rPr>
          <w:rFonts w:ascii="Arial" w:hAnsi="Arial" w:cs="Arial"/>
        </w:rPr>
        <w:t xml:space="preserve"> undertaken </w:t>
      </w:r>
      <w:r w:rsidR="00B77DA4">
        <w:rPr>
          <w:rFonts w:ascii="Arial" w:hAnsi="Arial" w:cs="Arial"/>
        </w:rPr>
        <w:t>with no significant issues being identified</w:t>
      </w:r>
      <w:r>
        <w:rPr>
          <w:rFonts w:ascii="Arial" w:hAnsi="Arial" w:cs="Arial"/>
        </w:rPr>
        <w:t>.</w:t>
      </w:r>
      <w:r w:rsidR="00B77DA4">
        <w:rPr>
          <w:rFonts w:ascii="Arial" w:hAnsi="Arial" w:cs="Arial"/>
        </w:rPr>
        <w:t xml:space="preserve">  The final exit meeting with the Auditors has been arranged for 31 </w:t>
      </w:r>
      <w:r w:rsidR="00783B83">
        <w:rPr>
          <w:rFonts w:ascii="Arial" w:hAnsi="Arial" w:cs="Arial"/>
        </w:rPr>
        <w:t>May</w:t>
      </w:r>
      <w:r w:rsidR="00B77DA4">
        <w:rPr>
          <w:rFonts w:ascii="Arial" w:hAnsi="Arial" w:cs="Arial"/>
        </w:rPr>
        <w:t>.</w:t>
      </w:r>
    </w:p>
    <w:p w:rsidR="0030194E" w:rsidRDefault="0030194E" w:rsidP="0030194E">
      <w:pPr>
        <w:rPr>
          <w:rFonts w:ascii="Arial" w:hAnsi="Arial" w:cs="Arial"/>
        </w:rPr>
      </w:pPr>
    </w:p>
    <w:p w:rsidR="0030194E" w:rsidRDefault="0030194E" w:rsidP="003019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accounts </w:t>
      </w:r>
      <w:r w:rsidR="00345B4F">
        <w:rPr>
          <w:rFonts w:ascii="Arial" w:hAnsi="Arial" w:cs="Arial"/>
        </w:rPr>
        <w:t xml:space="preserve">were approved at the Senior Management Team </w:t>
      </w:r>
      <w:r>
        <w:rPr>
          <w:rFonts w:ascii="Arial" w:hAnsi="Arial" w:cs="Arial"/>
        </w:rPr>
        <w:t xml:space="preserve">prior to being presented to the Board for approval on </w:t>
      </w:r>
      <w:r w:rsidR="00991091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June 201</w:t>
      </w:r>
      <w:r w:rsidR="00991091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30194E" w:rsidRDefault="0030194E" w:rsidP="0030194E">
      <w:pPr>
        <w:rPr>
          <w:rFonts w:ascii="Arial" w:hAnsi="Arial" w:cs="Arial"/>
        </w:rPr>
      </w:pPr>
    </w:p>
    <w:p w:rsidR="0030194E" w:rsidRPr="00ED1BC6" w:rsidRDefault="0030194E" w:rsidP="0030194E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Endowments </w:t>
      </w:r>
      <w:r w:rsidRPr="00ED1BC6">
        <w:rPr>
          <w:rFonts w:ascii="Arial" w:hAnsi="Arial" w:cs="Arial"/>
        </w:rPr>
        <w:t xml:space="preserve">Annual Accounts </w:t>
      </w:r>
      <w:r w:rsidR="00991091">
        <w:rPr>
          <w:rFonts w:ascii="Arial" w:hAnsi="Arial" w:cs="Arial"/>
        </w:rPr>
        <w:t>201</w:t>
      </w:r>
      <w:r w:rsidR="00345B4F">
        <w:rPr>
          <w:rFonts w:ascii="Arial" w:hAnsi="Arial" w:cs="Arial"/>
        </w:rPr>
        <w:t>7</w:t>
      </w:r>
      <w:r w:rsidR="00991091">
        <w:rPr>
          <w:rFonts w:ascii="Arial" w:hAnsi="Arial" w:cs="Arial"/>
        </w:rPr>
        <w:t>/18</w:t>
      </w:r>
    </w:p>
    <w:p w:rsidR="0030194E" w:rsidRDefault="0030194E" w:rsidP="0030194E">
      <w:pPr>
        <w:ind w:left="360"/>
        <w:rPr>
          <w:rFonts w:ascii="Arial" w:hAnsi="Arial" w:cs="Arial"/>
        </w:rPr>
      </w:pPr>
    </w:p>
    <w:p w:rsidR="0030194E" w:rsidRDefault="008F7E37" w:rsidP="003019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As with the Board accounts, the audit of the Charity</w:t>
      </w:r>
      <w:r w:rsidR="00940EB6">
        <w:rPr>
          <w:rFonts w:ascii="Arial" w:hAnsi="Arial" w:cs="Arial"/>
        </w:rPr>
        <w:t>’s accounts has also now been completed, again with no significant issues identified.</w:t>
      </w:r>
      <w:r w:rsidR="0030194E">
        <w:rPr>
          <w:rFonts w:ascii="Arial" w:hAnsi="Arial" w:cs="Arial"/>
        </w:rPr>
        <w:t xml:space="preserve">  We </w:t>
      </w:r>
      <w:r w:rsidR="00940EB6">
        <w:rPr>
          <w:rFonts w:ascii="Arial" w:hAnsi="Arial" w:cs="Arial"/>
        </w:rPr>
        <w:t>are now in the process of consolidating these into the Board accounts.</w:t>
      </w:r>
    </w:p>
    <w:p w:rsidR="0030194E" w:rsidRDefault="0030194E" w:rsidP="00940EB6">
      <w:pPr>
        <w:rPr>
          <w:rFonts w:ascii="Arial" w:hAnsi="Arial" w:cs="Arial"/>
        </w:rPr>
      </w:pPr>
    </w:p>
    <w:p w:rsidR="0030194E" w:rsidRDefault="0030194E" w:rsidP="003019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The accounts and annual report will be presented to the Endowments sub-committee and then the Board of Trustees prior to submission to</w:t>
      </w:r>
      <w:r w:rsidR="00345B4F">
        <w:rPr>
          <w:rFonts w:ascii="Arial" w:hAnsi="Arial" w:cs="Arial"/>
        </w:rPr>
        <w:t xml:space="preserve"> </w:t>
      </w:r>
      <w:r w:rsidR="00345B4F" w:rsidRPr="00345B4F">
        <w:rPr>
          <w:rFonts w:ascii="Arial" w:hAnsi="Arial" w:cs="Arial"/>
        </w:rPr>
        <w:t xml:space="preserve">the </w:t>
      </w:r>
      <w:r w:rsidR="00345B4F" w:rsidRPr="00345B4F">
        <w:rPr>
          <w:rStyle w:val="Emphasis"/>
          <w:rFonts w:ascii="Arial" w:hAnsi="Arial" w:cs="Arial"/>
          <w:bCs/>
          <w:i w:val="0"/>
          <w:iCs w:val="0"/>
          <w:color w:val="6A6A6A"/>
          <w:shd w:val="clear" w:color="auto" w:fill="FFFFFF"/>
        </w:rPr>
        <w:t xml:space="preserve">Office of the </w:t>
      </w:r>
      <w:r w:rsidR="00345B4F" w:rsidRPr="00345B4F">
        <w:rPr>
          <w:rStyle w:val="Emphasis"/>
          <w:rFonts w:ascii="Arial" w:hAnsi="Arial" w:cs="Arial"/>
          <w:bCs/>
          <w:i w:val="0"/>
          <w:iCs w:val="0"/>
          <w:color w:val="6A6A6A"/>
          <w:shd w:val="clear" w:color="auto" w:fill="FFFFFF"/>
        </w:rPr>
        <w:lastRenderedPageBreak/>
        <w:t>Scottish Charity Regulator</w:t>
      </w:r>
      <w:r w:rsidRPr="00345B4F">
        <w:rPr>
          <w:rFonts w:ascii="Arial" w:hAnsi="Arial" w:cs="Arial"/>
        </w:rPr>
        <w:t xml:space="preserve"> </w:t>
      </w:r>
      <w:r w:rsidR="00345B4F" w:rsidRPr="00345B4F">
        <w:rPr>
          <w:rFonts w:ascii="Arial" w:hAnsi="Arial" w:cs="Arial"/>
        </w:rPr>
        <w:t>(</w:t>
      </w:r>
      <w:r w:rsidRPr="00345B4F">
        <w:rPr>
          <w:rFonts w:ascii="Arial" w:hAnsi="Arial" w:cs="Arial"/>
        </w:rPr>
        <w:t>OSCR</w:t>
      </w:r>
      <w:r w:rsidR="00345B4F" w:rsidRPr="00345B4F">
        <w:rPr>
          <w:rFonts w:ascii="Arial" w:hAnsi="Arial" w:cs="Arial"/>
        </w:rPr>
        <w:t>)</w:t>
      </w:r>
      <w:r w:rsidRPr="00345B4F">
        <w:rPr>
          <w:rFonts w:ascii="Arial" w:hAnsi="Arial" w:cs="Arial"/>
        </w:rPr>
        <w:t>.</w:t>
      </w:r>
      <w:r w:rsidR="00924D4F" w:rsidRPr="00345B4F">
        <w:rPr>
          <w:rFonts w:ascii="Arial" w:hAnsi="Arial" w:cs="Arial"/>
        </w:rPr>
        <w:br/>
      </w:r>
    </w:p>
    <w:p w:rsidR="00354084" w:rsidRDefault="00354084" w:rsidP="006D4EC5">
      <w:pPr>
        <w:rPr>
          <w:rFonts w:ascii="Arial" w:hAnsi="Arial" w:cs="Arial"/>
        </w:rPr>
      </w:pPr>
    </w:p>
    <w:p w:rsidR="00354084" w:rsidRDefault="00354084" w:rsidP="00E23B04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Efficiency Savings</w:t>
      </w:r>
    </w:p>
    <w:p w:rsidR="00354084" w:rsidRPr="007D6BFC" w:rsidRDefault="00354084" w:rsidP="00E23B04"/>
    <w:p w:rsidR="00354084" w:rsidRDefault="003F62DC" w:rsidP="00CB6C66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At month </w:t>
      </w:r>
      <w:r w:rsidR="00345B4F">
        <w:rPr>
          <w:rFonts w:ascii="Arial" w:hAnsi="Arial" w:cs="Arial"/>
        </w:rPr>
        <w:t xml:space="preserve">12, </w:t>
      </w:r>
      <w:r w:rsidR="00354084">
        <w:rPr>
          <w:rFonts w:ascii="Arial" w:hAnsi="Arial" w:cs="Arial"/>
        </w:rPr>
        <w:t xml:space="preserve">total </w:t>
      </w:r>
      <w:r w:rsidR="00354084" w:rsidRPr="00EF2EDC">
        <w:rPr>
          <w:rFonts w:ascii="Arial" w:hAnsi="Arial" w:cs="Arial"/>
        </w:rPr>
        <w:t xml:space="preserve">efficiency savings delivered were </w:t>
      </w:r>
      <w:r w:rsidR="00354084" w:rsidRPr="00AC3356">
        <w:rPr>
          <w:rFonts w:ascii="Arial" w:hAnsi="Arial" w:cs="Arial"/>
        </w:rPr>
        <w:t>£</w:t>
      </w:r>
      <w:r w:rsidR="00D57FA8">
        <w:rPr>
          <w:rFonts w:ascii="Arial" w:hAnsi="Arial" w:cs="Arial"/>
        </w:rPr>
        <w:t>4</w:t>
      </w:r>
      <w:r w:rsidR="00354084" w:rsidRPr="00AC3356">
        <w:rPr>
          <w:rFonts w:ascii="Arial" w:hAnsi="Arial" w:cs="Arial"/>
        </w:rPr>
        <w:t>.</w:t>
      </w:r>
      <w:r>
        <w:rPr>
          <w:rFonts w:ascii="Arial" w:hAnsi="Arial" w:cs="Arial"/>
        </w:rPr>
        <w:t>542</w:t>
      </w:r>
      <w:r w:rsidR="00706FFF" w:rsidRPr="00AC3356">
        <w:rPr>
          <w:rFonts w:ascii="Arial" w:hAnsi="Arial" w:cs="Arial"/>
        </w:rPr>
        <w:t>m</w:t>
      </w:r>
      <w:r w:rsidR="00706FFF">
        <w:rPr>
          <w:rFonts w:ascii="Arial" w:hAnsi="Arial" w:cs="Arial"/>
        </w:rPr>
        <w:t xml:space="preserve"> </w:t>
      </w:r>
      <w:r w:rsidR="00354084" w:rsidRPr="00EF2EDC">
        <w:rPr>
          <w:rFonts w:ascii="Arial" w:hAnsi="Arial" w:cs="Arial"/>
        </w:rPr>
        <w:t>against a</w:t>
      </w:r>
      <w:r w:rsidR="00345B4F">
        <w:rPr>
          <w:rFonts w:ascii="Arial" w:hAnsi="Arial" w:cs="Arial"/>
        </w:rPr>
        <w:t xml:space="preserve"> Local Delivery Plan (</w:t>
      </w:r>
      <w:r w:rsidR="00354084" w:rsidRPr="00EF2EDC">
        <w:rPr>
          <w:rFonts w:ascii="Arial" w:hAnsi="Arial" w:cs="Arial"/>
        </w:rPr>
        <w:t>LDP</w:t>
      </w:r>
      <w:r w:rsidR="00345B4F">
        <w:rPr>
          <w:rFonts w:ascii="Arial" w:hAnsi="Arial" w:cs="Arial"/>
        </w:rPr>
        <w:t>)</w:t>
      </w:r>
      <w:r w:rsidR="00354084" w:rsidRPr="00EF2EDC">
        <w:rPr>
          <w:rFonts w:ascii="Arial" w:hAnsi="Arial" w:cs="Arial"/>
        </w:rPr>
        <w:t xml:space="preserve"> target of </w:t>
      </w:r>
      <w:r w:rsidR="00354084" w:rsidRPr="00AC3356">
        <w:rPr>
          <w:rFonts w:ascii="Arial" w:hAnsi="Arial" w:cs="Arial"/>
        </w:rPr>
        <w:t>£</w:t>
      </w:r>
      <w:r>
        <w:rPr>
          <w:rFonts w:ascii="Arial" w:hAnsi="Arial" w:cs="Arial"/>
        </w:rPr>
        <w:t>4.5</w:t>
      </w:r>
      <w:r w:rsidR="00354084" w:rsidRPr="00AC3356">
        <w:rPr>
          <w:rFonts w:ascii="Arial" w:hAnsi="Arial" w:cs="Arial"/>
        </w:rPr>
        <w:t>m,</w:t>
      </w:r>
      <w:r w:rsidR="0015424C">
        <w:rPr>
          <w:rFonts w:ascii="Arial" w:hAnsi="Arial" w:cs="Arial"/>
        </w:rPr>
        <w:t xml:space="preserve"> reporting </w:t>
      </w:r>
      <w:r w:rsidR="0015424C" w:rsidRPr="00AC3356">
        <w:rPr>
          <w:rFonts w:ascii="Arial" w:hAnsi="Arial" w:cs="Arial"/>
        </w:rPr>
        <w:t>£</w:t>
      </w:r>
      <w:r>
        <w:rPr>
          <w:rFonts w:ascii="Arial" w:hAnsi="Arial" w:cs="Arial"/>
        </w:rPr>
        <w:t>42</w:t>
      </w:r>
      <w:r w:rsidR="00354084" w:rsidRPr="00AC3356">
        <w:rPr>
          <w:rFonts w:ascii="Arial" w:hAnsi="Arial" w:cs="Arial"/>
        </w:rPr>
        <w:t>k</w:t>
      </w:r>
      <w:r w:rsidR="00354084">
        <w:rPr>
          <w:rFonts w:ascii="Arial" w:hAnsi="Arial" w:cs="Arial"/>
        </w:rPr>
        <w:t xml:space="preserve"> favourable performance against plan at this stage</w:t>
      </w:r>
      <w:r w:rsidR="00354084" w:rsidRPr="00EF2EDC">
        <w:rPr>
          <w:rFonts w:ascii="Arial" w:hAnsi="Arial" w:cs="Arial"/>
        </w:rPr>
        <w:t xml:space="preserve">. </w:t>
      </w:r>
      <w:r w:rsidR="008C1B7B">
        <w:rPr>
          <w:rFonts w:ascii="Arial" w:hAnsi="Arial" w:cs="Arial"/>
        </w:rPr>
        <w:t>This is</w:t>
      </w:r>
      <w:r w:rsidR="00354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line with the </w:t>
      </w:r>
      <w:r w:rsidR="00354084">
        <w:rPr>
          <w:rFonts w:ascii="Arial" w:hAnsi="Arial" w:cs="Arial"/>
        </w:rPr>
        <w:t>planned</w:t>
      </w:r>
      <w:r>
        <w:rPr>
          <w:rFonts w:ascii="Arial" w:hAnsi="Arial" w:cs="Arial"/>
        </w:rPr>
        <w:t xml:space="preserve"> trajectory and reflects </w:t>
      </w:r>
      <w:r w:rsidR="008C1B7B">
        <w:rPr>
          <w:rFonts w:ascii="Arial" w:hAnsi="Arial" w:cs="Arial"/>
        </w:rPr>
        <w:t xml:space="preserve">a small over </w:t>
      </w:r>
      <w:r>
        <w:rPr>
          <w:rFonts w:ascii="Arial" w:hAnsi="Arial" w:cs="Arial"/>
        </w:rPr>
        <w:t>achievement of</w:t>
      </w:r>
      <w:r w:rsidR="00354084">
        <w:rPr>
          <w:rFonts w:ascii="Arial" w:hAnsi="Arial" w:cs="Arial"/>
        </w:rPr>
        <w:t xml:space="preserve"> our Board efficiency savings annual </w:t>
      </w:r>
      <w:r w:rsidR="00AE0958">
        <w:rPr>
          <w:rFonts w:ascii="Arial" w:hAnsi="Arial" w:cs="Arial"/>
        </w:rPr>
        <w:t>target</w:t>
      </w:r>
      <w:r w:rsidR="007E58C0">
        <w:rPr>
          <w:rFonts w:ascii="Arial" w:hAnsi="Arial" w:cs="Arial"/>
        </w:rPr>
        <w:t>.</w:t>
      </w:r>
      <w:r w:rsidR="00AE0958">
        <w:rPr>
          <w:rFonts w:ascii="Arial" w:hAnsi="Arial" w:cs="Arial"/>
        </w:rPr>
        <w:t xml:space="preserve"> </w:t>
      </w:r>
    </w:p>
    <w:p w:rsidR="00354084" w:rsidRDefault="00354084" w:rsidP="00486236">
      <w:pPr>
        <w:rPr>
          <w:rFonts w:ascii="Arial" w:hAnsi="Arial" w:cs="Arial"/>
        </w:rPr>
      </w:pPr>
    </w:p>
    <w:p w:rsidR="00354084" w:rsidRDefault="0015424C" w:rsidP="00E23B0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354084" w:rsidRPr="00EF2EDC">
        <w:rPr>
          <w:rFonts w:ascii="Arial" w:hAnsi="Arial" w:cs="Arial"/>
        </w:rPr>
        <w:t xml:space="preserve"> </w:t>
      </w:r>
      <w:r w:rsidR="00354084">
        <w:rPr>
          <w:rFonts w:ascii="Arial" w:hAnsi="Arial" w:cs="Arial"/>
        </w:rPr>
        <w:t xml:space="preserve">savings achieved to date are </w:t>
      </w:r>
      <w:r w:rsidR="00354084" w:rsidRPr="00EF2EDC">
        <w:rPr>
          <w:rFonts w:ascii="Arial" w:hAnsi="Arial" w:cs="Arial"/>
        </w:rPr>
        <w:t>split with recurring efficiency</w:t>
      </w:r>
      <w:r w:rsidRPr="00EF2EDC">
        <w:rPr>
          <w:rFonts w:ascii="Arial" w:hAnsi="Arial" w:cs="Arial"/>
        </w:rPr>
        <w:t xml:space="preserve"> </w:t>
      </w:r>
      <w:r w:rsidR="00354084" w:rsidRPr="00EF2EDC">
        <w:rPr>
          <w:rFonts w:ascii="Arial" w:hAnsi="Arial" w:cs="Arial"/>
        </w:rPr>
        <w:t xml:space="preserve">savings achieved </w:t>
      </w:r>
      <w:r>
        <w:rPr>
          <w:rFonts w:ascii="Arial" w:hAnsi="Arial" w:cs="Arial"/>
        </w:rPr>
        <w:t xml:space="preserve">of </w:t>
      </w:r>
      <w:r w:rsidR="00354084" w:rsidRPr="00AD7E55">
        <w:rPr>
          <w:rFonts w:ascii="Arial" w:hAnsi="Arial" w:cs="Arial"/>
        </w:rPr>
        <w:t>£</w:t>
      </w:r>
      <w:r w:rsidR="007362F0" w:rsidRPr="00AD7E55">
        <w:rPr>
          <w:rFonts w:ascii="Arial" w:hAnsi="Arial" w:cs="Arial"/>
        </w:rPr>
        <w:t>3</w:t>
      </w:r>
      <w:r w:rsidR="001B22F6" w:rsidRPr="00AD7E55">
        <w:rPr>
          <w:rFonts w:ascii="Arial" w:hAnsi="Arial" w:cs="Arial"/>
        </w:rPr>
        <w:t>.</w:t>
      </w:r>
      <w:r w:rsidR="00A47BCF">
        <w:rPr>
          <w:rFonts w:ascii="Arial" w:hAnsi="Arial" w:cs="Arial"/>
        </w:rPr>
        <w:t>51</w:t>
      </w:r>
      <w:r w:rsidR="00572873">
        <w:rPr>
          <w:rFonts w:ascii="Arial" w:hAnsi="Arial" w:cs="Arial"/>
        </w:rPr>
        <w:t>6</w:t>
      </w:r>
      <w:r w:rsidR="00354084" w:rsidRPr="00AD7E55">
        <w:rPr>
          <w:rFonts w:ascii="Arial" w:hAnsi="Arial" w:cs="Arial"/>
        </w:rPr>
        <w:t>m</w:t>
      </w:r>
      <w:r w:rsidR="00354084" w:rsidRPr="00EF2EDC">
        <w:rPr>
          <w:rFonts w:ascii="Arial" w:hAnsi="Arial" w:cs="Arial"/>
        </w:rPr>
        <w:t xml:space="preserve"> and non recurring savings of </w:t>
      </w:r>
      <w:r w:rsidR="00354084" w:rsidRPr="00AC3356">
        <w:rPr>
          <w:rFonts w:ascii="Arial" w:hAnsi="Arial" w:cs="Arial"/>
        </w:rPr>
        <w:t>£</w:t>
      </w:r>
      <w:r w:rsidR="008C1B7B">
        <w:rPr>
          <w:rFonts w:ascii="Arial" w:hAnsi="Arial" w:cs="Arial"/>
        </w:rPr>
        <w:t>1</w:t>
      </w:r>
      <w:r w:rsidR="00D57FA8">
        <w:rPr>
          <w:rFonts w:ascii="Arial" w:hAnsi="Arial" w:cs="Arial"/>
        </w:rPr>
        <w:t>.</w:t>
      </w:r>
      <w:r w:rsidR="00A47BCF">
        <w:rPr>
          <w:rFonts w:ascii="Arial" w:hAnsi="Arial" w:cs="Arial"/>
        </w:rPr>
        <w:t>026</w:t>
      </w:r>
      <w:r w:rsidR="00354084" w:rsidRPr="00AC335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. </w:t>
      </w:r>
      <w:r w:rsidR="00354084" w:rsidRPr="00EF2EDC">
        <w:rPr>
          <w:rFonts w:ascii="Arial" w:hAnsi="Arial" w:cs="Arial"/>
        </w:rPr>
        <w:t>Details of this are included in Appendix 1, page 5.</w:t>
      </w:r>
      <w:r w:rsidR="00354084" w:rsidRPr="0005218C">
        <w:rPr>
          <w:rFonts w:ascii="Arial" w:hAnsi="Arial" w:cs="Arial"/>
        </w:rPr>
        <w:t xml:space="preserve">  </w:t>
      </w:r>
    </w:p>
    <w:p w:rsidR="00354084" w:rsidRDefault="00354084" w:rsidP="00E23B04">
      <w:pPr>
        <w:ind w:left="360"/>
        <w:rPr>
          <w:rFonts w:ascii="Arial" w:hAnsi="Arial" w:cs="Arial"/>
        </w:rPr>
      </w:pPr>
    </w:p>
    <w:p w:rsidR="00354084" w:rsidRDefault="00354084" w:rsidP="00E23B04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1B22F6">
        <w:rPr>
          <w:rFonts w:ascii="Arial" w:hAnsi="Arial" w:cs="Arial"/>
        </w:rPr>
        <w:t>re are no</w:t>
      </w:r>
      <w:r>
        <w:rPr>
          <w:rFonts w:ascii="Arial" w:hAnsi="Arial" w:cs="Arial"/>
        </w:rPr>
        <w:t xml:space="preserve"> key movements in this </w:t>
      </w:r>
      <w:r w:rsidR="001B22F6">
        <w:rPr>
          <w:rFonts w:ascii="Arial" w:hAnsi="Arial" w:cs="Arial"/>
        </w:rPr>
        <w:t xml:space="preserve">month’s reported </w:t>
      </w:r>
      <w:r w:rsidR="00AD7E55">
        <w:rPr>
          <w:rFonts w:ascii="Arial" w:hAnsi="Arial" w:cs="Arial"/>
        </w:rPr>
        <w:t>position;</w:t>
      </w:r>
      <w:r w:rsidR="001B22F6">
        <w:rPr>
          <w:rFonts w:ascii="Arial" w:hAnsi="Arial" w:cs="Arial"/>
        </w:rPr>
        <w:t xml:space="preserve"> the achievem</w:t>
      </w:r>
      <w:r w:rsidR="00572873">
        <w:rPr>
          <w:rFonts w:ascii="Arial" w:hAnsi="Arial" w:cs="Arial"/>
        </w:rPr>
        <w:t>ent is in line with forecast year-end</w:t>
      </w:r>
      <w:r w:rsidR="001B22F6">
        <w:rPr>
          <w:rFonts w:ascii="Arial" w:hAnsi="Arial" w:cs="Arial"/>
        </w:rPr>
        <w:t xml:space="preserve"> performance</w:t>
      </w:r>
      <w:r w:rsidR="00572873">
        <w:rPr>
          <w:rFonts w:ascii="Arial" w:hAnsi="Arial" w:cs="Arial"/>
        </w:rPr>
        <w:t>.</w:t>
      </w:r>
    </w:p>
    <w:p w:rsidR="0015424C" w:rsidRDefault="0015424C" w:rsidP="00E23B04">
      <w:pPr>
        <w:ind w:left="360"/>
        <w:rPr>
          <w:rFonts w:ascii="Arial" w:hAnsi="Arial" w:cs="Arial"/>
        </w:rPr>
      </w:pPr>
    </w:p>
    <w:p w:rsidR="00354084" w:rsidRDefault="00354084" w:rsidP="000902EB">
      <w:pPr>
        <w:rPr>
          <w:rFonts w:ascii="Arial" w:hAnsi="Arial" w:cs="Arial"/>
        </w:rPr>
      </w:pPr>
    </w:p>
    <w:p w:rsidR="00354084" w:rsidRDefault="00354084" w:rsidP="00E23B04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FB7212">
        <w:rPr>
          <w:rFonts w:ascii="Arial" w:hAnsi="Arial" w:cs="Arial"/>
        </w:rPr>
        <w:t>Conclusion</w:t>
      </w:r>
    </w:p>
    <w:p w:rsidR="00354084" w:rsidRPr="00FB7212" w:rsidRDefault="00354084">
      <w:pPr>
        <w:rPr>
          <w:rFonts w:ascii="Arial" w:hAnsi="Arial" w:cs="Arial"/>
          <w:b/>
          <w:bCs/>
          <w:sz w:val="16"/>
          <w:szCs w:val="20"/>
        </w:rPr>
      </w:pPr>
    </w:p>
    <w:p w:rsidR="00354084" w:rsidRPr="00700075" w:rsidRDefault="00354084" w:rsidP="00700075">
      <w:pPr>
        <w:pStyle w:val="BodyTextIndent2"/>
        <w:ind w:left="360"/>
        <w:jc w:val="left"/>
        <w:rPr>
          <w:rFonts w:ascii="Arial" w:hAnsi="Arial" w:cs="Arial"/>
          <w:bCs w:val="0"/>
          <w:iCs w:val="0"/>
        </w:rPr>
      </w:pPr>
      <w:r w:rsidRPr="00FB7212">
        <w:rPr>
          <w:rFonts w:ascii="Arial" w:hAnsi="Arial" w:cs="Arial"/>
          <w:bCs w:val="0"/>
          <w:iCs w:val="0"/>
        </w:rPr>
        <w:t xml:space="preserve">Members are asked to note this finance report for the period ended </w:t>
      </w:r>
      <w:r w:rsidR="00A47BCF">
        <w:rPr>
          <w:rFonts w:ascii="Arial" w:hAnsi="Arial" w:cs="Arial"/>
          <w:bCs w:val="0"/>
          <w:iCs w:val="0"/>
        </w:rPr>
        <w:t>31 March</w:t>
      </w:r>
      <w:r w:rsidR="006F410E">
        <w:rPr>
          <w:rFonts w:ascii="Arial" w:hAnsi="Arial" w:cs="Arial"/>
          <w:bCs w:val="0"/>
          <w:iCs w:val="0"/>
        </w:rPr>
        <w:t xml:space="preserve"> 2018</w:t>
      </w:r>
      <w:r w:rsidRPr="00FB7212">
        <w:rPr>
          <w:rFonts w:ascii="Arial" w:hAnsi="Arial" w:cs="Arial"/>
          <w:bCs w:val="0"/>
          <w:iCs w:val="0"/>
        </w:rPr>
        <w:t>.</w:t>
      </w:r>
    </w:p>
    <w:p w:rsidR="00354084" w:rsidRDefault="00354084">
      <w:pPr>
        <w:pStyle w:val="Heading2"/>
        <w:rPr>
          <w:rFonts w:ascii="Arial" w:hAnsi="Arial" w:cs="Arial"/>
          <w:bCs w:val="0"/>
        </w:rPr>
      </w:pPr>
    </w:p>
    <w:p w:rsidR="00354084" w:rsidRPr="00FB7212" w:rsidRDefault="00354084">
      <w:pPr>
        <w:pStyle w:val="Heading2"/>
        <w:rPr>
          <w:rFonts w:ascii="Arial" w:hAnsi="Arial" w:cs="Arial"/>
          <w:bCs w:val="0"/>
        </w:rPr>
      </w:pPr>
      <w:r w:rsidRPr="00FB7212">
        <w:rPr>
          <w:rFonts w:ascii="Arial" w:hAnsi="Arial" w:cs="Arial"/>
          <w:bCs w:val="0"/>
        </w:rPr>
        <w:t>Julie Carter</w:t>
      </w:r>
    </w:p>
    <w:p w:rsidR="00354084" w:rsidRPr="00FB7212" w:rsidRDefault="00354084">
      <w:pPr>
        <w:rPr>
          <w:rFonts w:ascii="Arial" w:hAnsi="Arial" w:cs="Arial"/>
          <w:b/>
        </w:rPr>
      </w:pPr>
      <w:r w:rsidRPr="00FB7212">
        <w:rPr>
          <w:rFonts w:ascii="Arial" w:hAnsi="Arial" w:cs="Arial"/>
          <w:b/>
        </w:rPr>
        <w:t>Director of Finance</w:t>
      </w:r>
    </w:p>
    <w:p w:rsidR="00354084" w:rsidRDefault="00A47BCF" w:rsidP="007000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17 May</w:t>
      </w:r>
      <w:r w:rsidR="006F410E">
        <w:rPr>
          <w:rFonts w:ascii="Arial" w:hAnsi="Arial" w:cs="Arial"/>
          <w:b/>
        </w:rPr>
        <w:t xml:space="preserve"> 2018</w:t>
      </w:r>
    </w:p>
    <w:p w:rsidR="00354084" w:rsidRDefault="00354084" w:rsidP="00700075">
      <w:pPr>
        <w:rPr>
          <w:rFonts w:ascii="Arial" w:hAnsi="Arial" w:cs="Arial"/>
          <w:b/>
        </w:rPr>
      </w:pPr>
    </w:p>
    <w:p w:rsidR="00354084" w:rsidRPr="00345B4F" w:rsidRDefault="00354084" w:rsidP="000902EB">
      <w:pPr>
        <w:rPr>
          <w:rFonts w:ascii="Arial" w:hAnsi="Arial" w:cs="Arial"/>
          <w:b/>
          <w:iCs/>
        </w:rPr>
      </w:pPr>
      <w:r w:rsidRPr="00345B4F">
        <w:rPr>
          <w:rFonts w:ascii="Arial" w:hAnsi="Arial" w:cs="Arial"/>
          <w:b/>
          <w:iCs/>
        </w:rPr>
        <w:t>(Lily Bryson, Assistant Director of Finance – Governance and Financial Accounting)</w:t>
      </w:r>
    </w:p>
    <w:p w:rsidR="00880A60" w:rsidRPr="00345B4F" w:rsidRDefault="00880A60" w:rsidP="00880A60">
      <w:pPr>
        <w:pStyle w:val="BodyTextIndent"/>
        <w:ind w:left="0"/>
        <w:rPr>
          <w:rFonts w:ascii="Arial" w:hAnsi="Arial" w:cs="Arial"/>
          <w:b/>
        </w:rPr>
      </w:pPr>
      <w:r w:rsidRPr="00345B4F">
        <w:rPr>
          <w:rFonts w:ascii="Arial" w:hAnsi="Arial" w:cs="Arial"/>
          <w:b/>
        </w:rPr>
        <w:t>(Elizabeth O’Brien – Assistant Director of Finance – Financial Management)</w:t>
      </w:r>
    </w:p>
    <w:p w:rsidR="00880A60" w:rsidRPr="000902EB" w:rsidRDefault="00880A60" w:rsidP="000902EB">
      <w:pPr>
        <w:rPr>
          <w:rFonts w:ascii="Arial" w:hAnsi="Arial" w:cs="Arial"/>
          <w:i/>
          <w:iCs/>
        </w:rPr>
      </w:pPr>
    </w:p>
    <w:p w:rsidR="00354084" w:rsidRPr="001B6DA5" w:rsidRDefault="00354084" w:rsidP="00152918"/>
    <w:sectPr w:rsidR="00354084" w:rsidRPr="001B6DA5" w:rsidSect="00345B4F">
      <w:footerReference w:type="even" r:id="rId8"/>
      <w:footerReference w:type="default" r:id="rId9"/>
      <w:footerReference w:type="first" r:id="rId10"/>
      <w:pgSz w:w="11906" w:h="16838"/>
      <w:pgMar w:top="1440" w:right="1133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21" w:rsidRDefault="00192D21">
      <w:r>
        <w:separator/>
      </w:r>
    </w:p>
  </w:endnote>
  <w:endnote w:type="continuationSeparator" w:id="0">
    <w:p w:rsidR="00192D21" w:rsidRDefault="00192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526" w:rsidRDefault="008308D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3452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4526" w:rsidRDefault="00E345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B4F" w:rsidRDefault="00345B4F" w:rsidP="00345B4F">
    <w:pPr>
      <w:ind w:hanging="284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8308DB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8308DB" w:rsidRPr="00513DB0">
      <w:rPr>
        <w:rStyle w:val="PageNumber"/>
        <w:rFonts w:ascii="Arial" w:hAnsi="Arial" w:cs="Arial"/>
      </w:rPr>
      <w:fldChar w:fldCharType="separate"/>
    </w:r>
    <w:r w:rsidR="00152918">
      <w:rPr>
        <w:rStyle w:val="PageNumber"/>
        <w:rFonts w:ascii="Arial" w:hAnsi="Arial" w:cs="Arial"/>
        <w:noProof/>
      </w:rPr>
      <w:t>3</w:t>
    </w:r>
    <w:r w:rsidR="008308DB" w:rsidRPr="00513DB0">
      <w:rPr>
        <w:rStyle w:val="PageNumber"/>
        <w:rFonts w:ascii="Arial" w:hAnsi="Arial" w:cs="Arial"/>
      </w:rPr>
      <w:fldChar w:fldCharType="end"/>
    </w:r>
  </w:p>
  <w:p w:rsidR="00E34526" w:rsidRDefault="00E34526" w:rsidP="00345B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B4F" w:rsidRPr="00513DB0" w:rsidRDefault="00345B4F" w:rsidP="00345B4F">
    <w:pPr>
      <w:ind w:hanging="284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8308DB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8308DB" w:rsidRPr="00513DB0">
      <w:rPr>
        <w:rStyle w:val="PageNumber"/>
        <w:rFonts w:ascii="Arial" w:hAnsi="Arial" w:cs="Arial"/>
      </w:rPr>
      <w:fldChar w:fldCharType="separate"/>
    </w:r>
    <w:r w:rsidR="00152918">
      <w:rPr>
        <w:rStyle w:val="PageNumber"/>
        <w:rFonts w:ascii="Arial" w:hAnsi="Arial" w:cs="Arial"/>
        <w:noProof/>
      </w:rPr>
      <w:t>1</w:t>
    </w:r>
    <w:r w:rsidR="008308DB" w:rsidRPr="00513DB0">
      <w:rPr>
        <w:rStyle w:val="PageNumber"/>
        <w:rFonts w:ascii="Arial" w:hAnsi="Arial" w:cs="Arial"/>
      </w:rPr>
      <w:fldChar w:fldCharType="end"/>
    </w:r>
  </w:p>
  <w:p w:rsidR="00345B4F" w:rsidRDefault="00345B4F" w:rsidP="00345B4F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5381625</wp:posOffset>
          </wp:positionH>
          <wp:positionV relativeFrom="paragraph">
            <wp:posOffset>72390</wp:posOffset>
          </wp:positionV>
          <wp:extent cx="514350" cy="342900"/>
          <wp:effectExtent l="19050" t="0" r="0" b="0"/>
          <wp:wrapNone/>
          <wp:docPr id="10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45B4F" w:rsidRPr="008F5DB5" w:rsidRDefault="00345B4F" w:rsidP="00345B4F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345B4F" w:rsidRPr="00345B4F" w:rsidRDefault="00345B4F" w:rsidP="00345B4F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21" w:rsidRDefault="00192D21">
      <w:r>
        <w:separator/>
      </w:r>
    </w:p>
  </w:footnote>
  <w:footnote w:type="continuationSeparator" w:id="0">
    <w:p w:rsidR="00192D21" w:rsidRDefault="00192D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5C29"/>
    <w:multiLevelType w:val="hybridMultilevel"/>
    <w:tmpl w:val="BBB45C7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DA08B4"/>
    <w:multiLevelType w:val="hybridMultilevel"/>
    <w:tmpl w:val="9FC250F0"/>
    <w:lvl w:ilvl="0" w:tplc="080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C70680D"/>
    <w:multiLevelType w:val="hybridMultilevel"/>
    <w:tmpl w:val="F320D11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95545C"/>
    <w:multiLevelType w:val="hybridMultilevel"/>
    <w:tmpl w:val="0DC0E72C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A33E99"/>
    <w:multiLevelType w:val="hybridMultilevel"/>
    <w:tmpl w:val="45AC51E8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5">
    <w:nsid w:val="13695B77"/>
    <w:multiLevelType w:val="hybridMultilevel"/>
    <w:tmpl w:val="50D8E7FE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6">
    <w:nsid w:val="19546684"/>
    <w:multiLevelType w:val="hybridMultilevel"/>
    <w:tmpl w:val="8716D832"/>
    <w:lvl w:ilvl="0" w:tplc="94949CB8">
      <w:start w:val="1"/>
      <w:numFmt w:val="decimal"/>
      <w:pStyle w:val="Heading4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E107F92"/>
    <w:multiLevelType w:val="hybridMultilevel"/>
    <w:tmpl w:val="5120AFD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21F31CA"/>
    <w:multiLevelType w:val="hybridMultilevel"/>
    <w:tmpl w:val="7B085D9E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6843D27"/>
    <w:multiLevelType w:val="hybridMultilevel"/>
    <w:tmpl w:val="AF34F4CA"/>
    <w:lvl w:ilvl="0" w:tplc="2F7E5AC2">
      <w:numFmt w:val="none"/>
      <w:lvlText w:val="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B0504E"/>
    <w:multiLevelType w:val="hybridMultilevel"/>
    <w:tmpl w:val="BA0866F4"/>
    <w:lvl w:ilvl="0" w:tplc="BD586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A6168A"/>
    <w:multiLevelType w:val="hybridMultilevel"/>
    <w:tmpl w:val="D94AA26A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12">
    <w:nsid w:val="328D0BD5"/>
    <w:multiLevelType w:val="hybridMultilevel"/>
    <w:tmpl w:val="31E46A84"/>
    <w:lvl w:ilvl="0" w:tplc="6FEC19C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531CC7"/>
    <w:multiLevelType w:val="hybridMultilevel"/>
    <w:tmpl w:val="47E4618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2A90430"/>
    <w:multiLevelType w:val="hybridMultilevel"/>
    <w:tmpl w:val="CF8CA5F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409443A"/>
    <w:multiLevelType w:val="hybridMultilevel"/>
    <w:tmpl w:val="4B0A0B5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7956434"/>
    <w:multiLevelType w:val="hybridMultilevel"/>
    <w:tmpl w:val="3AF0515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1A51E5"/>
    <w:multiLevelType w:val="hybridMultilevel"/>
    <w:tmpl w:val="AC48D4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395931"/>
    <w:multiLevelType w:val="hybridMultilevel"/>
    <w:tmpl w:val="A3965B6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E804CC5"/>
    <w:multiLevelType w:val="hybridMultilevel"/>
    <w:tmpl w:val="8C5C3BEA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56F4A96"/>
    <w:multiLevelType w:val="hybridMultilevel"/>
    <w:tmpl w:val="D1622FF8"/>
    <w:lvl w:ilvl="0" w:tplc="08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573435A7"/>
    <w:multiLevelType w:val="hybridMultilevel"/>
    <w:tmpl w:val="EBD8439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470963"/>
    <w:multiLevelType w:val="hybridMultilevel"/>
    <w:tmpl w:val="B084264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DE26EB1"/>
    <w:multiLevelType w:val="hybridMultilevel"/>
    <w:tmpl w:val="3828D6A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24">
    <w:nsid w:val="5E01092C"/>
    <w:multiLevelType w:val="hybridMultilevel"/>
    <w:tmpl w:val="817843E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25">
    <w:nsid w:val="61763E3D"/>
    <w:multiLevelType w:val="hybridMultilevel"/>
    <w:tmpl w:val="ECB8EA66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26">
    <w:nsid w:val="67D4066C"/>
    <w:multiLevelType w:val="hybridMultilevel"/>
    <w:tmpl w:val="0ABC497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9309C3"/>
    <w:multiLevelType w:val="hybridMultilevel"/>
    <w:tmpl w:val="5B0067A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E66146A"/>
    <w:multiLevelType w:val="hybridMultilevel"/>
    <w:tmpl w:val="AEA22B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3DD38B5"/>
    <w:multiLevelType w:val="hybridMultilevel"/>
    <w:tmpl w:val="9590427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F693E"/>
    <w:multiLevelType w:val="hybridMultilevel"/>
    <w:tmpl w:val="6520035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A5F693D"/>
    <w:multiLevelType w:val="hybridMultilevel"/>
    <w:tmpl w:val="48E26D9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18"/>
  </w:num>
  <w:num w:numId="4">
    <w:abstractNumId w:val="3"/>
  </w:num>
  <w:num w:numId="5">
    <w:abstractNumId w:val="12"/>
  </w:num>
  <w:num w:numId="6">
    <w:abstractNumId w:val="19"/>
  </w:num>
  <w:num w:numId="7">
    <w:abstractNumId w:val="23"/>
  </w:num>
  <w:num w:numId="8">
    <w:abstractNumId w:val="4"/>
  </w:num>
  <w:num w:numId="9">
    <w:abstractNumId w:val="24"/>
  </w:num>
  <w:num w:numId="10">
    <w:abstractNumId w:val="25"/>
  </w:num>
  <w:num w:numId="11">
    <w:abstractNumId w:val="5"/>
  </w:num>
  <w:num w:numId="12">
    <w:abstractNumId w:val="11"/>
  </w:num>
  <w:num w:numId="13">
    <w:abstractNumId w:val="9"/>
  </w:num>
  <w:num w:numId="14">
    <w:abstractNumId w:val="14"/>
  </w:num>
  <w:num w:numId="15">
    <w:abstractNumId w:val="15"/>
  </w:num>
  <w:num w:numId="16">
    <w:abstractNumId w:val="2"/>
  </w:num>
  <w:num w:numId="17">
    <w:abstractNumId w:val="22"/>
  </w:num>
  <w:num w:numId="18">
    <w:abstractNumId w:val="26"/>
  </w:num>
  <w:num w:numId="19">
    <w:abstractNumId w:val="27"/>
  </w:num>
  <w:num w:numId="20">
    <w:abstractNumId w:val="21"/>
  </w:num>
  <w:num w:numId="21">
    <w:abstractNumId w:val="7"/>
  </w:num>
  <w:num w:numId="22">
    <w:abstractNumId w:val="1"/>
  </w:num>
  <w:num w:numId="23">
    <w:abstractNumId w:val="17"/>
  </w:num>
  <w:num w:numId="24">
    <w:abstractNumId w:val="20"/>
  </w:num>
  <w:num w:numId="25">
    <w:abstractNumId w:val="28"/>
  </w:num>
  <w:num w:numId="26">
    <w:abstractNumId w:val="6"/>
  </w:num>
  <w:num w:numId="27">
    <w:abstractNumId w:val="13"/>
  </w:num>
  <w:num w:numId="28">
    <w:abstractNumId w:val="16"/>
  </w:num>
  <w:num w:numId="29">
    <w:abstractNumId w:val="0"/>
  </w:num>
  <w:num w:numId="30">
    <w:abstractNumId w:val="8"/>
  </w:num>
  <w:num w:numId="31">
    <w:abstractNumId w:val="30"/>
  </w:num>
  <w:num w:numId="32">
    <w:abstractNumId w:val="10"/>
  </w:num>
  <w:num w:numId="33">
    <w:abstractNumId w:val="32"/>
  </w:num>
  <w:num w:numId="34">
    <w:abstractNumId w:val="3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FB336D"/>
    <w:rsid w:val="00000F06"/>
    <w:rsid w:val="0000132B"/>
    <w:rsid w:val="00001527"/>
    <w:rsid w:val="0000285F"/>
    <w:rsid w:val="00003BA2"/>
    <w:rsid w:val="00003FDE"/>
    <w:rsid w:val="00004D48"/>
    <w:rsid w:val="00005332"/>
    <w:rsid w:val="00006A27"/>
    <w:rsid w:val="00010752"/>
    <w:rsid w:val="000109B5"/>
    <w:rsid w:val="00011464"/>
    <w:rsid w:val="00012511"/>
    <w:rsid w:val="00012CBD"/>
    <w:rsid w:val="00012E8E"/>
    <w:rsid w:val="00013353"/>
    <w:rsid w:val="00014394"/>
    <w:rsid w:val="0001480E"/>
    <w:rsid w:val="00015CDD"/>
    <w:rsid w:val="00016364"/>
    <w:rsid w:val="0002265D"/>
    <w:rsid w:val="000229D5"/>
    <w:rsid w:val="00024055"/>
    <w:rsid w:val="0002462C"/>
    <w:rsid w:val="00024906"/>
    <w:rsid w:val="0002593B"/>
    <w:rsid w:val="00025E0E"/>
    <w:rsid w:val="000300CC"/>
    <w:rsid w:val="00033D76"/>
    <w:rsid w:val="00035B44"/>
    <w:rsid w:val="00036046"/>
    <w:rsid w:val="000368A0"/>
    <w:rsid w:val="00037BDB"/>
    <w:rsid w:val="00037DE1"/>
    <w:rsid w:val="00042215"/>
    <w:rsid w:val="00046A38"/>
    <w:rsid w:val="00047281"/>
    <w:rsid w:val="00050092"/>
    <w:rsid w:val="000508F5"/>
    <w:rsid w:val="000511E4"/>
    <w:rsid w:val="00051606"/>
    <w:rsid w:val="0005218C"/>
    <w:rsid w:val="000538A3"/>
    <w:rsid w:val="00054AAB"/>
    <w:rsid w:val="00054BED"/>
    <w:rsid w:val="00055D47"/>
    <w:rsid w:val="0005653D"/>
    <w:rsid w:val="000616AE"/>
    <w:rsid w:val="00066501"/>
    <w:rsid w:val="00067A08"/>
    <w:rsid w:val="00070079"/>
    <w:rsid w:val="00070944"/>
    <w:rsid w:val="00070995"/>
    <w:rsid w:val="00071906"/>
    <w:rsid w:val="00071EF7"/>
    <w:rsid w:val="000720A5"/>
    <w:rsid w:val="00073359"/>
    <w:rsid w:val="00073B67"/>
    <w:rsid w:val="00073EAC"/>
    <w:rsid w:val="00075AC9"/>
    <w:rsid w:val="00080DF1"/>
    <w:rsid w:val="00083231"/>
    <w:rsid w:val="00084583"/>
    <w:rsid w:val="00087181"/>
    <w:rsid w:val="000902EB"/>
    <w:rsid w:val="00091273"/>
    <w:rsid w:val="00092034"/>
    <w:rsid w:val="000926A0"/>
    <w:rsid w:val="00093B88"/>
    <w:rsid w:val="000948B7"/>
    <w:rsid w:val="000960E7"/>
    <w:rsid w:val="0009682F"/>
    <w:rsid w:val="0009687F"/>
    <w:rsid w:val="0009748B"/>
    <w:rsid w:val="000A1D18"/>
    <w:rsid w:val="000A2B44"/>
    <w:rsid w:val="000A2EE7"/>
    <w:rsid w:val="000A5520"/>
    <w:rsid w:val="000A5C42"/>
    <w:rsid w:val="000A6C7F"/>
    <w:rsid w:val="000A6D15"/>
    <w:rsid w:val="000A764C"/>
    <w:rsid w:val="000A7CFA"/>
    <w:rsid w:val="000A7F27"/>
    <w:rsid w:val="000B1409"/>
    <w:rsid w:val="000B2165"/>
    <w:rsid w:val="000B486D"/>
    <w:rsid w:val="000B4B47"/>
    <w:rsid w:val="000B4D45"/>
    <w:rsid w:val="000B4E84"/>
    <w:rsid w:val="000B51BA"/>
    <w:rsid w:val="000B5912"/>
    <w:rsid w:val="000B5F03"/>
    <w:rsid w:val="000C0989"/>
    <w:rsid w:val="000C1756"/>
    <w:rsid w:val="000C206A"/>
    <w:rsid w:val="000C231D"/>
    <w:rsid w:val="000C337E"/>
    <w:rsid w:val="000C3724"/>
    <w:rsid w:val="000C3B78"/>
    <w:rsid w:val="000C409D"/>
    <w:rsid w:val="000C43D7"/>
    <w:rsid w:val="000C4CDC"/>
    <w:rsid w:val="000C4EB2"/>
    <w:rsid w:val="000C65C2"/>
    <w:rsid w:val="000C686E"/>
    <w:rsid w:val="000C6C23"/>
    <w:rsid w:val="000C6DA3"/>
    <w:rsid w:val="000C72A4"/>
    <w:rsid w:val="000D1AF1"/>
    <w:rsid w:val="000D2300"/>
    <w:rsid w:val="000D2BCE"/>
    <w:rsid w:val="000D4198"/>
    <w:rsid w:val="000D5271"/>
    <w:rsid w:val="000D6985"/>
    <w:rsid w:val="000D6E08"/>
    <w:rsid w:val="000D6E46"/>
    <w:rsid w:val="000D70A7"/>
    <w:rsid w:val="000D735F"/>
    <w:rsid w:val="000E0750"/>
    <w:rsid w:val="000E18C2"/>
    <w:rsid w:val="000E20CD"/>
    <w:rsid w:val="000E2DC3"/>
    <w:rsid w:val="000E37D6"/>
    <w:rsid w:val="000E3C1C"/>
    <w:rsid w:val="000E52CC"/>
    <w:rsid w:val="000E5968"/>
    <w:rsid w:val="000E62BC"/>
    <w:rsid w:val="000E6A81"/>
    <w:rsid w:val="000F0820"/>
    <w:rsid w:val="000F180F"/>
    <w:rsid w:val="000F196C"/>
    <w:rsid w:val="000F1E27"/>
    <w:rsid w:val="000F4524"/>
    <w:rsid w:val="000F4B4A"/>
    <w:rsid w:val="000F68FF"/>
    <w:rsid w:val="000F6B12"/>
    <w:rsid w:val="00100C3E"/>
    <w:rsid w:val="00101D3B"/>
    <w:rsid w:val="00101FE6"/>
    <w:rsid w:val="00102448"/>
    <w:rsid w:val="00102BAE"/>
    <w:rsid w:val="00102CE2"/>
    <w:rsid w:val="0010443F"/>
    <w:rsid w:val="00104F21"/>
    <w:rsid w:val="001059E0"/>
    <w:rsid w:val="001059E2"/>
    <w:rsid w:val="00106911"/>
    <w:rsid w:val="001112BF"/>
    <w:rsid w:val="00113D96"/>
    <w:rsid w:val="001142CD"/>
    <w:rsid w:val="00114405"/>
    <w:rsid w:val="00114D93"/>
    <w:rsid w:val="00115344"/>
    <w:rsid w:val="00116C1A"/>
    <w:rsid w:val="001175E5"/>
    <w:rsid w:val="00120327"/>
    <w:rsid w:val="0012200E"/>
    <w:rsid w:val="001226E2"/>
    <w:rsid w:val="00122905"/>
    <w:rsid w:val="0012468E"/>
    <w:rsid w:val="00124827"/>
    <w:rsid w:val="00127E89"/>
    <w:rsid w:val="00130724"/>
    <w:rsid w:val="00133DA9"/>
    <w:rsid w:val="00133F4C"/>
    <w:rsid w:val="001356B2"/>
    <w:rsid w:val="00136F19"/>
    <w:rsid w:val="00140C75"/>
    <w:rsid w:val="00141287"/>
    <w:rsid w:val="0014179B"/>
    <w:rsid w:val="0014195E"/>
    <w:rsid w:val="001422B2"/>
    <w:rsid w:val="00142AEE"/>
    <w:rsid w:val="00142CE8"/>
    <w:rsid w:val="001440B6"/>
    <w:rsid w:val="00147277"/>
    <w:rsid w:val="001474C6"/>
    <w:rsid w:val="00151CD2"/>
    <w:rsid w:val="00152918"/>
    <w:rsid w:val="0015424C"/>
    <w:rsid w:val="00154C6E"/>
    <w:rsid w:val="00155122"/>
    <w:rsid w:val="00155452"/>
    <w:rsid w:val="001563EB"/>
    <w:rsid w:val="00157D84"/>
    <w:rsid w:val="00160F5D"/>
    <w:rsid w:val="0016170C"/>
    <w:rsid w:val="00161CEF"/>
    <w:rsid w:val="001621BC"/>
    <w:rsid w:val="0016240B"/>
    <w:rsid w:val="00162FF3"/>
    <w:rsid w:val="00164984"/>
    <w:rsid w:val="00165814"/>
    <w:rsid w:val="00165D71"/>
    <w:rsid w:val="00166314"/>
    <w:rsid w:val="001732F8"/>
    <w:rsid w:val="00173B29"/>
    <w:rsid w:val="00173DB6"/>
    <w:rsid w:val="0017494A"/>
    <w:rsid w:val="001759F9"/>
    <w:rsid w:val="001764A8"/>
    <w:rsid w:val="00176DC7"/>
    <w:rsid w:val="001801C9"/>
    <w:rsid w:val="00180A53"/>
    <w:rsid w:val="00181E6B"/>
    <w:rsid w:val="00182C06"/>
    <w:rsid w:val="001830FA"/>
    <w:rsid w:val="001840A2"/>
    <w:rsid w:val="00184793"/>
    <w:rsid w:val="001847BB"/>
    <w:rsid w:val="00184CAE"/>
    <w:rsid w:val="00186C0F"/>
    <w:rsid w:val="001917FA"/>
    <w:rsid w:val="00191A55"/>
    <w:rsid w:val="00192D21"/>
    <w:rsid w:val="00193533"/>
    <w:rsid w:val="00193F7B"/>
    <w:rsid w:val="00194198"/>
    <w:rsid w:val="001978E6"/>
    <w:rsid w:val="001A262F"/>
    <w:rsid w:val="001A4162"/>
    <w:rsid w:val="001A43C7"/>
    <w:rsid w:val="001A624A"/>
    <w:rsid w:val="001A6F98"/>
    <w:rsid w:val="001A7988"/>
    <w:rsid w:val="001B0DDC"/>
    <w:rsid w:val="001B141F"/>
    <w:rsid w:val="001B22F6"/>
    <w:rsid w:val="001B272D"/>
    <w:rsid w:val="001B338E"/>
    <w:rsid w:val="001B3610"/>
    <w:rsid w:val="001B3888"/>
    <w:rsid w:val="001B5C7E"/>
    <w:rsid w:val="001B5D6D"/>
    <w:rsid w:val="001B6494"/>
    <w:rsid w:val="001B6DA2"/>
    <w:rsid w:val="001B6DA5"/>
    <w:rsid w:val="001B79D4"/>
    <w:rsid w:val="001B7F7D"/>
    <w:rsid w:val="001C064C"/>
    <w:rsid w:val="001C1571"/>
    <w:rsid w:val="001C187E"/>
    <w:rsid w:val="001C2164"/>
    <w:rsid w:val="001C278B"/>
    <w:rsid w:val="001C37E0"/>
    <w:rsid w:val="001C4B6F"/>
    <w:rsid w:val="001C4DA3"/>
    <w:rsid w:val="001C4EB7"/>
    <w:rsid w:val="001C6E82"/>
    <w:rsid w:val="001C793A"/>
    <w:rsid w:val="001D0B89"/>
    <w:rsid w:val="001D0D92"/>
    <w:rsid w:val="001D2C34"/>
    <w:rsid w:val="001D3457"/>
    <w:rsid w:val="001D3E4F"/>
    <w:rsid w:val="001D567C"/>
    <w:rsid w:val="001E096A"/>
    <w:rsid w:val="001E0D3E"/>
    <w:rsid w:val="001E0D99"/>
    <w:rsid w:val="001E0FE0"/>
    <w:rsid w:val="001E1FC3"/>
    <w:rsid w:val="001E24EB"/>
    <w:rsid w:val="001E26E5"/>
    <w:rsid w:val="001E2FF2"/>
    <w:rsid w:val="001E6186"/>
    <w:rsid w:val="001E7BB0"/>
    <w:rsid w:val="001F01A3"/>
    <w:rsid w:val="001F073B"/>
    <w:rsid w:val="001F1861"/>
    <w:rsid w:val="001F4C51"/>
    <w:rsid w:val="001F7195"/>
    <w:rsid w:val="001F76BF"/>
    <w:rsid w:val="001F7E6A"/>
    <w:rsid w:val="0020128F"/>
    <w:rsid w:val="00202613"/>
    <w:rsid w:val="0020277F"/>
    <w:rsid w:val="002028B1"/>
    <w:rsid w:val="002029F5"/>
    <w:rsid w:val="00203312"/>
    <w:rsid w:val="0020398A"/>
    <w:rsid w:val="00203A65"/>
    <w:rsid w:val="002058F7"/>
    <w:rsid w:val="0020693E"/>
    <w:rsid w:val="00206BF6"/>
    <w:rsid w:val="002073F5"/>
    <w:rsid w:val="00211F87"/>
    <w:rsid w:val="002125A9"/>
    <w:rsid w:val="00213119"/>
    <w:rsid w:val="00213BD2"/>
    <w:rsid w:val="002143DD"/>
    <w:rsid w:val="00216005"/>
    <w:rsid w:val="00217287"/>
    <w:rsid w:val="002173DA"/>
    <w:rsid w:val="002178A3"/>
    <w:rsid w:val="00217BB1"/>
    <w:rsid w:val="002209CB"/>
    <w:rsid w:val="00220A4F"/>
    <w:rsid w:val="002211AB"/>
    <w:rsid w:val="002213C8"/>
    <w:rsid w:val="00221F62"/>
    <w:rsid w:val="00222D0A"/>
    <w:rsid w:val="00223052"/>
    <w:rsid w:val="002235AA"/>
    <w:rsid w:val="00223BF4"/>
    <w:rsid w:val="0022677E"/>
    <w:rsid w:val="00227D83"/>
    <w:rsid w:val="0023366A"/>
    <w:rsid w:val="00236544"/>
    <w:rsid w:val="00237472"/>
    <w:rsid w:val="0024032B"/>
    <w:rsid w:val="002409CF"/>
    <w:rsid w:val="00241542"/>
    <w:rsid w:val="0024247D"/>
    <w:rsid w:val="00243387"/>
    <w:rsid w:val="002450A1"/>
    <w:rsid w:val="00247375"/>
    <w:rsid w:val="00247ECE"/>
    <w:rsid w:val="00250E70"/>
    <w:rsid w:val="00251A22"/>
    <w:rsid w:val="002523B4"/>
    <w:rsid w:val="00252768"/>
    <w:rsid w:val="002555FC"/>
    <w:rsid w:val="002558AF"/>
    <w:rsid w:val="00255F24"/>
    <w:rsid w:val="00256BC9"/>
    <w:rsid w:val="00256FE7"/>
    <w:rsid w:val="002618B5"/>
    <w:rsid w:val="00261F97"/>
    <w:rsid w:val="00262EC5"/>
    <w:rsid w:val="002631D8"/>
    <w:rsid w:val="0026349F"/>
    <w:rsid w:val="00267FCD"/>
    <w:rsid w:val="002700AB"/>
    <w:rsid w:val="00271BFB"/>
    <w:rsid w:val="002734B4"/>
    <w:rsid w:val="002736D8"/>
    <w:rsid w:val="002743A7"/>
    <w:rsid w:val="002748ED"/>
    <w:rsid w:val="00275CAF"/>
    <w:rsid w:val="0028008B"/>
    <w:rsid w:val="0028101E"/>
    <w:rsid w:val="00282E36"/>
    <w:rsid w:val="00284D39"/>
    <w:rsid w:val="00284DB7"/>
    <w:rsid w:val="002850A1"/>
    <w:rsid w:val="0028554C"/>
    <w:rsid w:val="0028582B"/>
    <w:rsid w:val="00286D8D"/>
    <w:rsid w:val="00287271"/>
    <w:rsid w:val="00287D8B"/>
    <w:rsid w:val="00290643"/>
    <w:rsid w:val="00290CCC"/>
    <w:rsid w:val="002942E3"/>
    <w:rsid w:val="0029480A"/>
    <w:rsid w:val="0029561E"/>
    <w:rsid w:val="00296723"/>
    <w:rsid w:val="00297424"/>
    <w:rsid w:val="002A3807"/>
    <w:rsid w:val="002A3FB7"/>
    <w:rsid w:val="002A4762"/>
    <w:rsid w:val="002A4CAF"/>
    <w:rsid w:val="002A5AA9"/>
    <w:rsid w:val="002A5ABF"/>
    <w:rsid w:val="002B2699"/>
    <w:rsid w:val="002B2E2A"/>
    <w:rsid w:val="002B512B"/>
    <w:rsid w:val="002B5417"/>
    <w:rsid w:val="002B5AD3"/>
    <w:rsid w:val="002B6E78"/>
    <w:rsid w:val="002C057D"/>
    <w:rsid w:val="002C43BF"/>
    <w:rsid w:val="002C47DA"/>
    <w:rsid w:val="002C4AFE"/>
    <w:rsid w:val="002C5573"/>
    <w:rsid w:val="002C5703"/>
    <w:rsid w:val="002C5E9D"/>
    <w:rsid w:val="002C74ED"/>
    <w:rsid w:val="002C7EC9"/>
    <w:rsid w:val="002D1770"/>
    <w:rsid w:val="002D180A"/>
    <w:rsid w:val="002D186D"/>
    <w:rsid w:val="002D1884"/>
    <w:rsid w:val="002D1A20"/>
    <w:rsid w:val="002D2C21"/>
    <w:rsid w:val="002D318A"/>
    <w:rsid w:val="002D3C8D"/>
    <w:rsid w:val="002D55BF"/>
    <w:rsid w:val="002D5A29"/>
    <w:rsid w:val="002D778E"/>
    <w:rsid w:val="002E209D"/>
    <w:rsid w:val="002E2942"/>
    <w:rsid w:val="002E2B79"/>
    <w:rsid w:val="002E2C72"/>
    <w:rsid w:val="002E2D8B"/>
    <w:rsid w:val="002E3101"/>
    <w:rsid w:val="002E5196"/>
    <w:rsid w:val="002E5291"/>
    <w:rsid w:val="002E54AC"/>
    <w:rsid w:val="002E68DC"/>
    <w:rsid w:val="002E6C31"/>
    <w:rsid w:val="002E75CE"/>
    <w:rsid w:val="002E7F84"/>
    <w:rsid w:val="002F1B13"/>
    <w:rsid w:val="002F1C93"/>
    <w:rsid w:val="002F39A0"/>
    <w:rsid w:val="002F56B8"/>
    <w:rsid w:val="002F5C06"/>
    <w:rsid w:val="00300BA7"/>
    <w:rsid w:val="0030194E"/>
    <w:rsid w:val="00301ACE"/>
    <w:rsid w:val="00304ECD"/>
    <w:rsid w:val="00304EF6"/>
    <w:rsid w:val="00305EB2"/>
    <w:rsid w:val="003119B4"/>
    <w:rsid w:val="00311BE5"/>
    <w:rsid w:val="00311F07"/>
    <w:rsid w:val="003122D8"/>
    <w:rsid w:val="003123D2"/>
    <w:rsid w:val="0031289B"/>
    <w:rsid w:val="00312BA3"/>
    <w:rsid w:val="00312C51"/>
    <w:rsid w:val="00312C9B"/>
    <w:rsid w:val="00313E68"/>
    <w:rsid w:val="00314986"/>
    <w:rsid w:val="00316170"/>
    <w:rsid w:val="00316B2E"/>
    <w:rsid w:val="003202CA"/>
    <w:rsid w:val="00320A94"/>
    <w:rsid w:val="00321D1C"/>
    <w:rsid w:val="00321D2E"/>
    <w:rsid w:val="003223BA"/>
    <w:rsid w:val="00322498"/>
    <w:rsid w:val="003235B5"/>
    <w:rsid w:val="003257C2"/>
    <w:rsid w:val="003259C5"/>
    <w:rsid w:val="003263F0"/>
    <w:rsid w:val="003302EE"/>
    <w:rsid w:val="00333BD2"/>
    <w:rsid w:val="003346AE"/>
    <w:rsid w:val="0033702A"/>
    <w:rsid w:val="00337564"/>
    <w:rsid w:val="00337FC0"/>
    <w:rsid w:val="003411C7"/>
    <w:rsid w:val="003412B0"/>
    <w:rsid w:val="00342F03"/>
    <w:rsid w:val="00343E6E"/>
    <w:rsid w:val="0034475E"/>
    <w:rsid w:val="00345B4F"/>
    <w:rsid w:val="0035105A"/>
    <w:rsid w:val="0035254D"/>
    <w:rsid w:val="00352EC7"/>
    <w:rsid w:val="00354084"/>
    <w:rsid w:val="0035563F"/>
    <w:rsid w:val="00355B17"/>
    <w:rsid w:val="00355DEB"/>
    <w:rsid w:val="00356143"/>
    <w:rsid w:val="003618A8"/>
    <w:rsid w:val="00361B3A"/>
    <w:rsid w:val="00364CC3"/>
    <w:rsid w:val="003705A2"/>
    <w:rsid w:val="00374F0B"/>
    <w:rsid w:val="00376A41"/>
    <w:rsid w:val="0038105D"/>
    <w:rsid w:val="0038117A"/>
    <w:rsid w:val="003820B2"/>
    <w:rsid w:val="003823EC"/>
    <w:rsid w:val="00384912"/>
    <w:rsid w:val="00384AB9"/>
    <w:rsid w:val="00384F4A"/>
    <w:rsid w:val="0038575D"/>
    <w:rsid w:val="00390485"/>
    <w:rsid w:val="00391148"/>
    <w:rsid w:val="0039323F"/>
    <w:rsid w:val="00393C88"/>
    <w:rsid w:val="003A14B3"/>
    <w:rsid w:val="003A1FFC"/>
    <w:rsid w:val="003A24F3"/>
    <w:rsid w:val="003A28F2"/>
    <w:rsid w:val="003A33C1"/>
    <w:rsid w:val="003A3574"/>
    <w:rsid w:val="003A3735"/>
    <w:rsid w:val="003A3966"/>
    <w:rsid w:val="003A3A85"/>
    <w:rsid w:val="003A49FF"/>
    <w:rsid w:val="003A6C82"/>
    <w:rsid w:val="003A7F64"/>
    <w:rsid w:val="003B0BA2"/>
    <w:rsid w:val="003B2798"/>
    <w:rsid w:val="003B43A8"/>
    <w:rsid w:val="003B520D"/>
    <w:rsid w:val="003B58F9"/>
    <w:rsid w:val="003B7273"/>
    <w:rsid w:val="003B7391"/>
    <w:rsid w:val="003B7FD1"/>
    <w:rsid w:val="003B7FE1"/>
    <w:rsid w:val="003C0ECC"/>
    <w:rsid w:val="003C2841"/>
    <w:rsid w:val="003C29CD"/>
    <w:rsid w:val="003C3541"/>
    <w:rsid w:val="003C4EC6"/>
    <w:rsid w:val="003D1F38"/>
    <w:rsid w:val="003D32BA"/>
    <w:rsid w:val="003D4DC5"/>
    <w:rsid w:val="003D5356"/>
    <w:rsid w:val="003D5C55"/>
    <w:rsid w:val="003D6DE6"/>
    <w:rsid w:val="003D6F41"/>
    <w:rsid w:val="003D78AB"/>
    <w:rsid w:val="003E0BD7"/>
    <w:rsid w:val="003E2D8F"/>
    <w:rsid w:val="003E4918"/>
    <w:rsid w:val="003E5AE1"/>
    <w:rsid w:val="003E6961"/>
    <w:rsid w:val="003F1A1C"/>
    <w:rsid w:val="003F5101"/>
    <w:rsid w:val="003F62DC"/>
    <w:rsid w:val="003F6BFE"/>
    <w:rsid w:val="003F7320"/>
    <w:rsid w:val="004005A7"/>
    <w:rsid w:val="00405962"/>
    <w:rsid w:val="00406156"/>
    <w:rsid w:val="00406D55"/>
    <w:rsid w:val="004112BC"/>
    <w:rsid w:val="00411DFD"/>
    <w:rsid w:val="00411EFF"/>
    <w:rsid w:val="004121AB"/>
    <w:rsid w:val="00412BCD"/>
    <w:rsid w:val="00413315"/>
    <w:rsid w:val="00414300"/>
    <w:rsid w:val="00414806"/>
    <w:rsid w:val="00415156"/>
    <w:rsid w:val="004165F0"/>
    <w:rsid w:val="0041696E"/>
    <w:rsid w:val="00416E45"/>
    <w:rsid w:val="0041727E"/>
    <w:rsid w:val="00417BB2"/>
    <w:rsid w:val="00423BC9"/>
    <w:rsid w:val="00423D67"/>
    <w:rsid w:val="0042487F"/>
    <w:rsid w:val="004248AB"/>
    <w:rsid w:val="00425231"/>
    <w:rsid w:val="00425587"/>
    <w:rsid w:val="00425994"/>
    <w:rsid w:val="0042666E"/>
    <w:rsid w:val="0042710E"/>
    <w:rsid w:val="00430363"/>
    <w:rsid w:val="004305DF"/>
    <w:rsid w:val="004306DE"/>
    <w:rsid w:val="004313F7"/>
    <w:rsid w:val="0043250E"/>
    <w:rsid w:val="004347CC"/>
    <w:rsid w:val="004372E3"/>
    <w:rsid w:val="00437476"/>
    <w:rsid w:val="0044078F"/>
    <w:rsid w:val="00440871"/>
    <w:rsid w:val="00440BA9"/>
    <w:rsid w:val="00440E68"/>
    <w:rsid w:val="0044116A"/>
    <w:rsid w:val="00441365"/>
    <w:rsid w:val="00441DC0"/>
    <w:rsid w:val="00441EF1"/>
    <w:rsid w:val="004428D5"/>
    <w:rsid w:val="00442CAB"/>
    <w:rsid w:val="00443357"/>
    <w:rsid w:val="00443BE6"/>
    <w:rsid w:val="00444973"/>
    <w:rsid w:val="0044609D"/>
    <w:rsid w:val="00446A42"/>
    <w:rsid w:val="00446C14"/>
    <w:rsid w:val="00450D1B"/>
    <w:rsid w:val="00451C6F"/>
    <w:rsid w:val="00453205"/>
    <w:rsid w:val="0045371B"/>
    <w:rsid w:val="00453CCA"/>
    <w:rsid w:val="004541A5"/>
    <w:rsid w:val="004554FB"/>
    <w:rsid w:val="00456F17"/>
    <w:rsid w:val="00461BCC"/>
    <w:rsid w:val="00462FEF"/>
    <w:rsid w:val="004771FF"/>
    <w:rsid w:val="00477B32"/>
    <w:rsid w:val="00477DD3"/>
    <w:rsid w:val="004813F2"/>
    <w:rsid w:val="00482572"/>
    <w:rsid w:val="00482E04"/>
    <w:rsid w:val="004831D6"/>
    <w:rsid w:val="00485AD4"/>
    <w:rsid w:val="00486236"/>
    <w:rsid w:val="00486412"/>
    <w:rsid w:val="00486921"/>
    <w:rsid w:val="00487F73"/>
    <w:rsid w:val="00490DAE"/>
    <w:rsid w:val="00490ECC"/>
    <w:rsid w:val="004912CB"/>
    <w:rsid w:val="004919C1"/>
    <w:rsid w:val="0049260B"/>
    <w:rsid w:val="00496099"/>
    <w:rsid w:val="004961B0"/>
    <w:rsid w:val="00496344"/>
    <w:rsid w:val="004967BC"/>
    <w:rsid w:val="004975E7"/>
    <w:rsid w:val="004A05F2"/>
    <w:rsid w:val="004A0A90"/>
    <w:rsid w:val="004A0DD1"/>
    <w:rsid w:val="004A1425"/>
    <w:rsid w:val="004A18D3"/>
    <w:rsid w:val="004A1CF4"/>
    <w:rsid w:val="004A212D"/>
    <w:rsid w:val="004A2782"/>
    <w:rsid w:val="004A33C6"/>
    <w:rsid w:val="004A4680"/>
    <w:rsid w:val="004A47D3"/>
    <w:rsid w:val="004A5911"/>
    <w:rsid w:val="004A5B61"/>
    <w:rsid w:val="004A6909"/>
    <w:rsid w:val="004A7AC5"/>
    <w:rsid w:val="004B1DBC"/>
    <w:rsid w:val="004B2728"/>
    <w:rsid w:val="004B3349"/>
    <w:rsid w:val="004B357E"/>
    <w:rsid w:val="004B4AAE"/>
    <w:rsid w:val="004B79DD"/>
    <w:rsid w:val="004C0890"/>
    <w:rsid w:val="004C1AAE"/>
    <w:rsid w:val="004C285F"/>
    <w:rsid w:val="004C3D6D"/>
    <w:rsid w:val="004C4208"/>
    <w:rsid w:val="004C4232"/>
    <w:rsid w:val="004C46F2"/>
    <w:rsid w:val="004C510B"/>
    <w:rsid w:val="004C562B"/>
    <w:rsid w:val="004D00F2"/>
    <w:rsid w:val="004D0204"/>
    <w:rsid w:val="004D0212"/>
    <w:rsid w:val="004D0C39"/>
    <w:rsid w:val="004D1C8F"/>
    <w:rsid w:val="004D433F"/>
    <w:rsid w:val="004D5BE8"/>
    <w:rsid w:val="004D605C"/>
    <w:rsid w:val="004D6FFC"/>
    <w:rsid w:val="004E0237"/>
    <w:rsid w:val="004E0C80"/>
    <w:rsid w:val="004E0CB0"/>
    <w:rsid w:val="004E2460"/>
    <w:rsid w:val="004E3643"/>
    <w:rsid w:val="004E3C41"/>
    <w:rsid w:val="004E3D8D"/>
    <w:rsid w:val="004E4102"/>
    <w:rsid w:val="004E4B04"/>
    <w:rsid w:val="004E5EEC"/>
    <w:rsid w:val="004E666C"/>
    <w:rsid w:val="004E7128"/>
    <w:rsid w:val="004E7546"/>
    <w:rsid w:val="004F2771"/>
    <w:rsid w:val="004F4223"/>
    <w:rsid w:val="004F45B3"/>
    <w:rsid w:val="004F45FF"/>
    <w:rsid w:val="004F4B66"/>
    <w:rsid w:val="004F5BCD"/>
    <w:rsid w:val="004F5CA7"/>
    <w:rsid w:val="004F5F1D"/>
    <w:rsid w:val="004F626A"/>
    <w:rsid w:val="004F7F35"/>
    <w:rsid w:val="0050020B"/>
    <w:rsid w:val="0050210B"/>
    <w:rsid w:val="005023DE"/>
    <w:rsid w:val="005028A9"/>
    <w:rsid w:val="00504EB3"/>
    <w:rsid w:val="00505171"/>
    <w:rsid w:val="00506024"/>
    <w:rsid w:val="00506FA4"/>
    <w:rsid w:val="00507173"/>
    <w:rsid w:val="005076DB"/>
    <w:rsid w:val="0050779E"/>
    <w:rsid w:val="005100FB"/>
    <w:rsid w:val="00510A67"/>
    <w:rsid w:val="00511C73"/>
    <w:rsid w:val="00512829"/>
    <w:rsid w:val="00512E38"/>
    <w:rsid w:val="005141E7"/>
    <w:rsid w:val="005150DD"/>
    <w:rsid w:val="0051684B"/>
    <w:rsid w:val="0051795E"/>
    <w:rsid w:val="00517A0C"/>
    <w:rsid w:val="0052029A"/>
    <w:rsid w:val="00521B8C"/>
    <w:rsid w:val="00521D1F"/>
    <w:rsid w:val="00522792"/>
    <w:rsid w:val="005245FF"/>
    <w:rsid w:val="00524847"/>
    <w:rsid w:val="005250A3"/>
    <w:rsid w:val="0052687E"/>
    <w:rsid w:val="005272A0"/>
    <w:rsid w:val="00530252"/>
    <w:rsid w:val="005315D2"/>
    <w:rsid w:val="00532E45"/>
    <w:rsid w:val="00534840"/>
    <w:rsid w:val="00534D03"/>
    <w:rsid w:val="00535349"/>
    <w:rsid w:val="005360F9"/>
    <w:rsid w:val="0053648B"/>
    <w:rsid w:val="005371AE"/>
    <w:rsid w:val="00537F8F"/>
    <w:rsid w:val="00542798"/>
    <w:rsid w:val="00547862"/>
    <w:rsid w:val="00547F05"/>
    <w:rsid w:val="00550D35"/>
    <w:rsid w:val="00551D25"/>
    <w:rsid w:val="00552F32"/>
    <w:rsid w:val="00553595"/>
    <w:rsid w:val="00553AE7"/>
    <w:rsid w:val="00554275"/>
    <w:rsid w:val="00554337"/>
    <w:rsid w:val="00554F70"/>
    <w:rsid w:val="0055551B"/>
    <w:rsid w:val="005561F0"/>
    <w:rsid w:val="005562D8"/>
    <w:rsid w:val="00556F32"/>
    <w:rsid w:val="0056192F"/>
    <w:rsid w:val="00566F15"/>
    <w:rsid w:val="005700CB"/>
    <w:rsid w:val="0057010E"/>
    <w:rsid w:val="005711E7"/>
    <w:rsid w:val="005712EF"/>
    <w:rsid w:val="00571DE7"/>
    <w:rsid w:val="00572873"/>
    <w:rsid w:val="005729FB"/>
    <w:rsid w:val="00572BF8"/>
    <w:rsid w:val="005730C7"/>
    <w:rsid w:val="005745F0"/>
    <w:rsid w:val="00577A49"/>
    <w:rsid w:val="00580EF9"/>
    <w:rsid w:val="00585BEB"/>
    <w:rsid w:val="005862E7"/>
    <w:rsid w:val="005867EB"/>
    <w:rsid w:val="0058799A"/>
    <w:rsid w:val="00591EB5"/>
    <w:rsid w:val="0059299E"/>
    <w:rsid w:val="00593247"/>
    <w:rsid w:val="00594963"/>
    <w:rsid w:val="00595DA5"/>
    <w:rsid w:val="005976D8"/>
    <w:rsid w:val="005A14BB"/>
    <w:rsid w:val="005A1881"/>
    <w:rsid w:val="005A1C6C"/>
    <w:rsid w:val="005A2261"/>
    <w:rsid w:val="005A269F"/>
    <w:rsid w:val="005A355F"/>
    <w:rsid w:val="005A3D8C"/>
    <w:rsid w:val="005A6432"/>
    <w:rsid w:val="005B0715"/>
    <w:rsid w:val="005B0C20"/>
    <w:rsid w:val="005B2792"/>
    <w:rsid w:val="005B3FCB"/>
    <w:rsid w:val="005B472D"/>
    <w:rsid w:val="005B5C0F"/>
    <w:rsid w:val="005B5D9A"/>
    <w:rsid w:val="005B6DD1"/>
    <w:rsid w:val="005C0C3E"/>
    <w:rsid w:val="005C18BF"/>
    <w:rsid w:val="005C2169"/>
    <w:rsid w:val="005C4788"/>
    <w:rsid w:val="005C54AF"/>
    <w:rsid w:val="005C6818"/>
    <w:rsid w:val="005D0667"/>
    <w:rsid w:val="005D1096"/>
    <w:rsid w:val="005D1F12"/>
    <w:rsid w:val="005D2BAF"/>
    <w:rsid w:val="005D4DD6"/>
    <w:rsid w:val="005D5C84"/>
    <w:rsid w:val="005D7114"/>
    <w:rsid w:val="005D7F3F"/>
    <w:rsid w:val="005E1F47"/>
    <w:rsid w:val="005E2398"/>
    <w:rsid w:val="005E2F0F"/>
    <w:rsid w:val="005E34A3"/>
    <w:rsid w:val="005E3925"/>
    <w:rsid w:val="005E3B49"/>
    <w:rsid w:val="005E42EA"/>
    <w:rsid w:val="005E4414"/>
    <w:rsid w:val="005E56C5"/>
    <w:rsid w:val="005E6127"/>
    <w:rsid w:val="005E6809"/>
    <w:rsid w:val="005E7CD0"/>
    <w:rsid w:val="005F00BE"/>
    <w:rsid w:val="005F09CC"/>
    <w:rsid w:val="005F0E5A"/>
    <w:rsid w:val="005F1ED7"/>
    <w:rsid w:val="005F2F8F"/>
    <w:rsid w:val="005F3D9A"/>
    <w:rsid w:val="005F58EE"/>
    <w:rsid w:val="005F5A90"/>
    <w:rsid w:val="005F5E60"/>
    <w:rsid w:val="005F5F56"/>
    <w:rsid w:val="005F7799"/>
    <w:rsid w:val="005F7DF5"/>
    <w:rsid w:val="006001D6"/>
    <w:rsid w:val="00601791"/>
    <w:rsid w:val="006045AC"/>
    <w:rsid w:val="00604A1A"/>
    <w:rsid w:val="00605CC4"/>
    <w:rsid w:val="006067BF"/>
    <w:rsid w:val="006071D7"/>
    <w:rsid w:val="0060793F"/>
    <w:rsid w:val="00610257"/>
    <w:rsid w:val="0061091F"/>
    <w:rsid w:val="0061225E"/>
    <w:rsid w:val="00616F1E"/>
    <w:rsid w:val="00617174"/>
    <w:rsid w:val="00617541"/>
    <w:rsid w:val="00617607"/>
    <w:rsid w:val="00620081"/>
    <w:rsid w:val="006200DD"/>
    <w:rsid w:val="006215AA"/>
    <w:rsid w:val="00622900"/>
    <w:rsid w:val="00625968"/>
    <w:rsid w:val="00626A1D"/>
    <w:rsid w:val="00626A5E"/>
    <w:rsid w:val="006303E7"/>
    <w:rsid w:val="0063051C"/>
    <w:rsid w:val="006322EF"/>
    <w:rsid w:val="0063419B"/>
    <w:rsid w:val="00636FFD"/>
    <w:rsid w:val="006414CE"/>
    <w:rsid w:val="006420FD"/>
    <w:rsid w:val="00643D70"/>
    <w:rsid w:val="0064739B"/>
    <w:rsid w:val="0065187B"/>
    <w:rsid w:val="006534E3"/>
    <w:rsid w:val="00655247"/>
    <w:rsid w:val="00655282"/>
    <w:rsid w:val="006552F3"/>
    <w:rsid w:val="006562C4"/>
    <w:rsid w:val="00656C33"/>
    <w:rsid w:val="00656CBF"/>
    <w:rsid w:val="00657DC2"/>
    <w:rsid w:val="00660F77"/>
    <w:rsid w:val="00661ACA"/>
    <w:rsid w:val="00662789"/>
    <w:rsid w:val="00662A8D"/>
    <w:rsid w:val="006631E6"/>
    <w:rsid w:val="00663EEA"/>
    <w:rsid w:val="006641F6"/>
    <w:rsid w:val="006650F2"/>
    <w:rsid w:val="0066566D"/>
    <w:rsid w:val="00665CA6"/>
    <w:rsid w:val="00665E77"/>
    <w:rsid w:val="006723B4"/>
    <w:rsid w:val="006739EA"/>
    <w:rsid w:val="00677AE5"/>
    <w:rsid w:val="00680EDA"/>
    <w:rsid w:val="0068108E"/>
    <w:rsid w:val="00681423"/>
    <w:rsid w:val="00682309"/>
    <w:rsid w:val="0068381A"/>
    <w:rsid w:val="00685E91"/>
    <w:rsid w:val="006871F7"/>
    <w:rsid w:val="00690D4F"/>
    <w:rsid w:val="00693B97"/>
    <w:rsid w:val="00693D7A"/>
    <w:rsid w:val="0069574A"/>
    <w:rsid w:val="00696721"/>
    <w:rsid w:val="006973E0"/>
    <w:rsid w:val="006A05DE"/>
    <w:rsid w:val="006A10E6"/>
    <w:rsid w:val="006A1A6C"/>
    <w:rsid w:val="006A23F2"/>
    <w:rsid w:val="006A3042"/>
    <w:rsid w:val="006A30DD"/>
    <w:rsid w:val="006A6CD7"/>
    <w:rsid w:val="006A7435"/>
    <w:rsid w:val="006A7DF7"/>
    <w:rsid w:val="006B06BC"/>
    <w:rsid w:val="006B0882"/>
    <w:rsid w:val="006B18EC"/>
    <w:rsid w:val="006C0D89"/>
    <w:rsid w:val="006C162F"/>
    <w:rsid w:val="006C40F4"/>
    <w:rsid w:val="006C5A33"/>
    <w:rsid w:val="006C614E"/>
    <w:rsid w:val="006C701E"/>
    <w:rsid w:val="006C7D52"/>
    <w:rsid w:val="006D4913"/>
    <w:rsid w:val="006D4EC5"/>
    <w:rsid w:val="006D6614"/>
    <w:rsid w:val="006D698C"/>
    <w:rsid w:val="006E01BE"/>
    <w:rsid w:val="006E239E"/>
    <w:rsid w:val="006E3F49"/>
    <w:rsid w:val="006E41B1"/>
    <w:rsid w:val="006E6484"/>
    <w:rsid w:val="006E659C"/>
    <w:rsid w:val="006F1FC6"/>
    <w:rsid w:val="006F2259"/>
    <w:rsid w:val="006F40F4"/>
    <w:rsid w:val="006F410E"/>
    <w:rsid w:val="006F4AC5"/>
    <w:rsid w:val="006F4B45"/>
    <w:rsid w:val="006F4C90"/>
    <w:rsid w:val="006F5447"/>
    <w:rsid w:val="006F65EB"/>
    <w:rsid w:val="00700075"/>
    <w:rsid w:val="0070056D"/>
    <w:rsid w:val="0070103E"/>
    <w:rsid w:val="007010DF"/>
    <w:rsid w:val="00701119"/>
    <w:rsid w:val="0070196F"/>
    <w:rsid w:val="00703D0C"/>
    <w:rsid w:val="007056FB"/>
    <w:rsid w:val="007065D8"/>
    <w:rsid w:val="00706AFD"/>
    <w:rsid w:val="00706B86"/>
    <w:rsid w:val="00706FFF"/>
    <w:rsid w:val="007079FF"/>
    <w:rsid w:val="00710E6B"/>
    <w:rsid w:val="007128F8"/>
    <w:rsid w:val="00714163"/>
    <w:rsid w:val="00714700"/>
    <w:rsid w:val="00714F68"/>
    <w:rsid w:val="007160D2"/>
    <w:rsid w:val="00716346"/>
    <w:rsid w:val="00716350"/>
    <w:rsid w:val="0071751D"/>
    <w:rsid w:val="00717EB9"/>
    <w:rsid w:val="0072021F"/>
    <w:rsid w:val="00720A04"/>
    <w:rsid w:val="007217A4"/>
    <w:rsid w:val="00722796"/>
    <w:rsid w:val="00722A4B"/>
    <w:rsid w:val="007232F7"/>
    <w:rsid w:val="00724558"/>
    <w:rsid w:val="00724C66"/>
    <w:rsid w:val="0072563C"/>
    <w:rsid w:val="0072590E"/>
    <w:rsid w:val="00725D63"/>
    <w:rsid w:val="00730087"/>
    <w:rsid w:val="00730142"/>
    <w:rsid w:val="00730807"/>
    <w:rsid w:val="00731252"/>
    <w:rsid w:val="0073143E"/>
    <w:rsid w:val="00734706"/>
    <w:rsid w:val="00734935"/>
    <w:rsid w:val="00734A62"/>
    <w:rsid w:val="00734C85"/>
    <w:rsid w:val="00734D70"/>
    <w:rsid w:val="0073542A"/>
    <w:rsid w:val="00735EEF"/>
    <w:rsid w:val="007362F0"/>
    <w:rsid w:val="00737713"/>
    <w:rsid w:val="007404A2"/>
    <w:rsid w:val="00740878"/>
    <w:rsid w:val="00742098"/>
    <w:rsid w:val="0074268E"/>
    <w:rsid w:val="007428AF"/>
    <w:rsid w:val="00743ED3"/>
    <w:rsid w:val="00744740"/>
    <w:rsid w:val="007467AB"/>
    <w:rsid w:val="00747F22"/>
    <w:rsid w:val="0075003F"/>
    <w:rsid w:val="00750D34"/>
    <w:rsid w:val="00750D8D"/>
    <w:rsid w:val="007511B9"/>
    <w:rsid w:val="00752B16"/>
    <w:rsid w:val="00755432"/>
    <w:rsid w:val="007555E9"/>
    <w:rsid w:val="00755B9C"/>
    <w:rsid w:val="00756B39"/>
    <w:rsid w:val="00760859"/>
    <w:rsid w:val="00760D42"/>
    <w:rsid w:val="007615ED"/>
    <w:rsid w:val="00763CFC"/>
    <w:rsid w:val="00763E29"/>
    <w:rsid w:val="00764664"/>
    <w:rsid w:val="0076667C"/>
    <w:rsid w:val="00766877"/>
    <w:rsid w:val="00766A9D"/>
    <w:rsid w:val="007671BE"/>
    <w:rsid w:val="00767C86"/>
    <w:rsid w:val="007704B9"/>
    <w:rsid w:val="0077057D"/>
    <w:rsid w:val="00771A48"/>
    <w:rsid w:val="00772470"/>
    <w:rsid w:val="0077331E"/>
    <w:rsid w:val="00774DD5"/>
    <w:rsid w:val="00775876"/>
    <w:rsid w:val="0077692A"/>
    <w:rsid w:val="00776947"/>
    <w:rsid w:val="00776F8B"/>
    <w:rsid w:val="00777997"/>
    <w:rsid w:val="0078038D"/>
    <w:rsid w:val="0078383C"/>
    <w:rsid w:val="00783A9A"/>
    <w:rsid w:val="00783B83"/>
    <w:rsid w:val="00784972"/>
    <w:rsid w:val="007852E6"/>
    <w:rsid w:val="00785C94"/>
    <w:rsid w:val="00786675"/>
    <w:rsid w:val="00786845"/>
    <w:rsid w:val="0078709B"/>
    <w:rsid w:val="00791790"/>
    <w:rsid w:val="00792A74"/>
    <w:rsid w:val="00794364"/>
    <w:rsid w:val="00794777"/>
    <w:rsid w:val="007955C9"/>
    <w:rsid w:val="00797141"/>
    <w:rsid w:val="00797464"/>
    <w:rsid w:val="00797474"/>
    <w:rsid w:val="007975F7"/>
    <w:rsid w:val="007A12A2"/>
    <w:rsid w:val="007A1A60"/>
    <w:rsid w:val="007A2DB8"/>
    <w:rsid w:val="007A32DD"/>
    <w:rsid w:val="007A3B40"/>
    <w:rsid w:val="007A4F57"/>
    <w:rsid w:val="007A505C"/>
    <w:rsid w:val="007B0712"/>
    <w:rsid w:val="007B3923"/>
    <w:rsid w:val="007B3D48"/>
    <w:rsid w:val="007B6208"/>
    <w:rsid w:val="007B7ED1"/>
    <w:rsid w:val="007C1823"/>
    <w:rsid w:val="007C3F52"/>
    <w:rsid w:val="007C7083"/>
    <w:rsid w:val="007C7614"/>
    <w:rsid w:val="007C7B24"/>
    <w:rsid w:val="007C7E39"/>
    <w:rsid w:val="007D132B"/>
    <w:rsid w:val="007D15CD"/>
    <w:rsid w:val="007D1B34"/>
    <w:rsid w:val="007D4370"/>
    <w:rsid w:val="007D4ED7"/>
    <w:rsid w:val="007D5416"/>
    <w:rsid w:val="007D6BFC"/>
    <w:rsid w:val="007D7863"/>
    <w:rsid w:val="007E2D95"/>
    <w:rsid w:val="007E312E"/>
    <w:rsid w:val="007E58C0"/>
    <w:rsid w:val="007E6289"/>
    <w:rsid w:val="007E656D"/>
    <w:rsid w:val="007E6BA7"/>
    <w:rsid w:val="007E732B"/>
    <w:rsid w:val="007E7A07"/>
    <w:rsid w:val="007F0254"/>
    <w:rsid w:val="007F4D4E"/>
    <w:rsid w:val="007F58F3"/>
    <w:rsid w:val="007F5C94"/>
    <w:rsid w:val="007F68FF"/>
    <w:rsid w:val="00800802"/>
    <w:rsid w:val="00800D0F"/>
    <w:rsid w:val="00802A24"/>
    <w:rsid w:val="00803546"/>
    <w:rsid w:val="0080367E"/>
    <w:rsid w:val="0080498C"/>
    <w:rsid w:val="00805EA3"/>
    <w:rsid w:val="00805FD7"/>
    <w:rsid w:val="00807C7C"/>
    <w:rsid w:val="00810A57"/>
    <w:rsid w:val="00812B9B"/>
    <w:rsid w:val="00812C63"/>
    <w:rsid w:val="00813362"/>
    <w:rsid w:val="008134F9"/>
    <w:rsid w:val="00813A21"/>
    <w:rsid w:val="00816F10"/>
    <w:rsid w:val="00817C11"/>
    <w:rsid w:val="00820D31"/>
    <w:rsid w:val="0082292D"/>
    <w:rsid w:val="00822F9F"/>
    <w:rsid w:val="00823607"/>
    <w:rsid w:val="0082373E"/>
    <w:rsid w:val="008252E4"/>
    <w:rsid w:val="008263D2"/>
    <w:rsid w:val="0082756C"/>
    <w:rsid w:val="008308DB"/>
    <w:rsid w:val="0083128D"/>
    <w:rsid w:val="008312AB"/>
    <w:rsid w:val="00833F36"/>
    <w:rsid w:val="00834EDE"/>
    <w:rsid w:val="0083535F"/>
    <w:rsid w:val="00837DCA"/>
    <w:rsid w:val="008417DD"/>
    <w:rsid w:val="00841CAC"/>
    <w:rsid w:val="00842FC1"/>
    <w:rsid w:val="0084308A"/>
    <w:rsid w:val="008446C1"/>
    <w:rsid w:val="00845594"/>
    <w:rsid w:val="00845C92"/>
    <w:rsid w:val="00846137"/>
    <w:rsid w:val="00846518"/>
    <w:rsid w:val="00850CD1"/>
    <w:rsid w:val="008517A6"/>
    <w:rsid w:val="00851DCB"/>
    <w:rsid w:val="00852218"/>
    <w:rsid w:val="00852F8A"/>
    <w:rsid w:val="0085309D"/>
    <w:rsid w:val="008534B7"/>
    <w:rsid w:val="00853F75"/>
    <w:rsid w:val="0085469F"/>
    <w:rsid w:val="008560AD"/>
    <w:rsid w:val="00857208"/>
    <w:rsid w:val="00857829"/>
    <w:rsid w:val="008579DF"/>
    <w:rsid w:val="00860EFB"/>
    <w:rsid w:val="008708F7"/>
    <w:rsid w:val="00871609"/>
    <w:rsid w:val="00873E85"/>
    <w:rsid w:val="00874707"/>
    <w:rsid w:val="008747BF"/>
    <w:rsid w:val="0087493F"/>
    <w:rsid w:val="008749E9"/>
    <w:rsid w:val="00875E3B"/>
    <w:rsid w:val="008761FA"/>
    <w:rsid w:val="008763F3"/>
    <w:rsid w:val="00877409"/>
    <w:rsid w:val="00880655"/>
    <w:rsid w:val="008806CC"/>
    <w:rsid w:val="00880A60"/>
    <w:rsid w:val="00883696"/>
    <w:rsid w:val="00885640"/>
    <w:rsid w:val="008857CA"/>
    <w:rsid w:val="00886586"/>
    <w:rsid w:val="008877E0"/>
    <w:rsid w:val="00887D12"/>
    <w:rsid w:val="00890353"/>
    <w:rsid w:val="008904D8"/>
    <w:rsid w:val="0089068D"/>
    <w:rsid w:val="00891B29"/>
    <w:rsid w:val="008936AB"/>
    <w:rsid w:val="0089483D"/>
    <w:rsid w:val="00894B7D"/>
    <w:rsid w:val="00894D6D"/>
    <w:rsid w:val="008952D2"/>
    <w:rsid w:val="0089603E"/>
    <w:rsid w:val="008969D4"/>
    <w:rsid w:val="0089724E"/>
    <w:rsid w:val="00897960"/>
    <w:rsid w:val="008A04BF"/>
    <w:rsid w:val="008A0F1C"/>
    <w:rsid w:val="008A18E4"/>
    <w:rsid w:val="008A3C94"/>
    <w:rsid w:val="008A4D2F"/>
    <w:rsid w:val="008A7D5D"/>
    <w:rsid w:val="008B2A09"/>
    <w:rsid w:val="008B3A75"/>
    <w:rsid w:val="008B4D33"/>
    <w:rsid w:val="008B6279"/>
    <w:rsid w:val="008B679A"/>
    <w:rsid w:val="008B6CF6"/>
    <w:rsid w:val="008C003B"/>
    <w:rsid w:val="008C038A"/>
    <w:rsid w:val="008C0DBD"/>
    <w:rsid w:val="008C0E2D"/>
    <w:rsid w:val="008C1B7B"/>
    <w:rsid w:val="008C3AB6"/>
    <w:rsid w:val="008C3F01"/>
    <w:rsid w:val="008C4A25"/>
    <w:rsid w:val="008C79A7"/>
    <w:rsid w:val="008D01CC"/>
    <w:rsid w:val="008D1757"/>
    <w:rsid w:val="008D2184"/>
    <w:rsid w:val="008D2220"/>
    <w:rsid w:val="008D3D18"/>
    <w:rsid w:val="008D57EF"/>
    <w:rsid w:val="008E1928"/>
    <w:rsid w:val="008E3309"/>
    <w:rsid w:val="008E3F0B"/>
    <w:rsid w:val="008E550B"/>
    <w:rsid w:val="008E578E"/>
    <w:rsid w:val="008E6B17"/>
    <w:rsid w:val="008E7161"/>
    <w:rsid w:val="008E7708"/>
    <w:rsid w:val="008F194B"/>
    <w:rsid w:val="008F2CB2"/>
    <w:rsid w:val="008F40E3"/>
    <w:rsid w:val="008F5970"/>
    <w:rsid w:val="008F5DB5"/>
    <w:rsid w:val="008F7728"/>
    <w:rsid w:val="008F7E37"/>
    <w:rsid w:val="009005D3"/>
    <w:rsid w:val="00902EB0"/>
    <w:rsid w:val="0090485E"/>
    <w:rsid w:val="009065E3"/>
    <w:rsid w:val="009066B9"/>
    <w:rsid w:val="00906A8B"/>
    <w:rsid w:val="00910F4D"/>
    <w:rsid w:val="00911DC0"/>
    <w:rsid w:val="0091221A"/>
    <w:rsid w:val="009133BE"/>
    <w:rsid w:val="00915274"/>
    <w:rsid w:val="009152F8"/>
    <w:rsid w:val="009166E7"/>
    <w:rsid w:val="009168D9"/>
    <w:rsid w:val="00916BA8"/>
    <w:rsid w:val="00916BF1"/>
    <w:rsid w:val="0091742E"/>
    <w:rsid w:val="009205BE"/>
    <w:rsid w:val="0092453C"/>
    <w:rsid w:val="00924D4F"/>
    <w:rsid w:val="00924DE9"/>
    <w:rsid w:val="00925E26"/>
    <w:rsid w:val="009260AD"/>
    <w:rsid w:val="00926984"/>
    <w:rsid w:val="009323F3"/>
    <w:rsid w:val="00932424"/>
    <w:rsid w:val="00932C0F"/>
    <w:rsid w:val="00933670"/>
    <w:rsid w:val="00934090"/>
    <w:rsid w:val="00934534"/>
    <w:rsid w:val="0093556E"/>
    <w:rsid w:val="00935A8E"/>
    <w:rsid w:val="0093604B"/>
    <w:rsid w:val="00936422"/>
    <w:rsid w:val="00936FD2"/>
    <w:rsid w:val="009404AF"/>
    <w:rsid w:val="00940E45"/>
    <w:rsid w:val="00940EB6"/>
    <w:rsid w:val="00942434"/>
    <w:rsid w:val="0094387B"/>
    <w:rsid w:val="00945137"/>
    <w:rsid w:val="00946014"/>
    <w:rsid w:val="009462F3"/>
    <w:rsid w:val="00947626"/>
    <w:rsid w:val="00947EBE"/>
    <w:rsid w:val="009500EF"/>
    <w:rsid w:val="009518C7"/>
    <w:rsid w:val="00951C4F"/>
    <w:rsid w:val="00952F1B"/>
    <w:rsid w:val="009537DF"/>
    <w:rsid w:val="009558C0"/>
    <w:rsid w:val="00955E57"/>
    <w:rsid w:val="00956422"/>
    <w:rsid w:val="009610A4"/>
    <w:rsid w:val="00961B97"/>
    <w:rsid w:val="00961E8C"/>
    <w:rsid w:val="009629FD"/>
    <w:rsid w:val="00963FF5"/>
    <w:rsid w:val="00964803"/>
    <w:rsid w:val="00965AC0"/>
    <w:rsid w:val="00966A82"/>
    <w:rsid w:val="009670CA"/>
    <w:rsid w:val="00967335"/>
    <w:rsid w:val="00971C2C"/>
    <w:rsid w:val="00974A25"/>
    <w:rsid w:val="009773DA"/>
    <w:rsid w:val="00980CC9"/>
    <w:rsid w:val="00981353"/>
    <w:rsid w:val="00981A4E"/>
    <w:rsid w:val="00982A0F"/>
    <w:rsid w:val="00982EB2"/>
    <w:rsid w:val="00983422"/>
    <w:rsid w:val="0098342B"/>
    <w:rsid w:val="0098346C"/>
    <w:rsid w:val="00984657"/>
    <w:rsid w:val="00985794"/>
    <w:rsid w:val="00987192"/>
    <w:rsid w:val="009877A1"/>
    <w:rsid w:val="009879ED"/>
    <w:rsid w:val="00990C92"/>
    <w:rsid w:val="00991091"/>
    <w:rsid w:val="00993320"/>
    <w:rsid w:val="00993D86"/>
    <w:rsid w:val="00993DAA"/>
    <w:rsid w:val="00995517"/>
    <w:rsid w:val="009A176F"/>
    <w:rsid w:val="009A55F5"/>
    <w:rsid w:val="009A5612"/>
    <w:rsid w:val="009A5ED2"/>
    <w:rsid w:val="009A69F8"/>
    <w:rsid w:val="009A6D41"/>
    <w:rsid w:val="009A71B6"/>
    <w:rsid w:val="009A7F98"/>
    <w:rsid w:val="009B04F3"/>
    <w:rsid w:val="009B0E1D"/>
    <w:rsid w:val="009B15B2"/>
    <w:rsid w:val="009B170E"/>
    <w:rsid w:val="009B2731"/>
    <w:rsid w:val="009B4247"/>
    <w:rsid w:val="009B5661"/>
    <w:rsid w:val="009B6927"/>
    <w:rsid w:val="009B71AD"/>
    <w:rsid w:val="009C05DC"/>
    <w:rsid w:val="009C0737"/>
    <w:rsid w:val="009C088B"/>
    <w:rsid w:val="009C0BE4"/>
    <w:rsid w:val="009C0D9E"/>
    <w:rsid w:val="009C1F6C"/>
    <w:rsid w:val="009C45EC"/>
    <w:rsid w:val="009C6121"/>
    <w:rsid w:val="009C63FB"/>
    <w:rsid w:val="009C69B5"/>
    <w:rsid w:val="009C6DF7"/>
    <w:rsid w:val="009D0BF4"/>
    <w:rsid w:val="009D0D21"/>
    <w:rsid w:val="009D120E"/>
    <w:rsid w:val="009D1230"/>
    <w:rsid w:val="009D1A4F"/>
    <w:rsid w:val="009D1C7D"/>
    <w:rsid w:val="009D2DB3"/>
    <w:rsid w:val="009D35F5"/>
    <w:rsid w:val="009D479F"/>
    <w:rsid w:val="009D4990"/>
    <w:rsid w:val="009D5481"/>
    <w:rsid w:val="009D5890"/>
    <w:rsid w:val="009D6EFB"/>
    <w:rsid w:val="009D7944"/>
    <w:rsid w:val="009D7A49"/>
    <w:rsid w:val="009E03DD"/>
    <w:rsid w:val="009E08C8"/>
    <w:rsid w:val="009E091A"/>
    <w:rsid w:val="009E198B"/>
    <w:rsid w:val="009E1D1A"/>
    <w:rsid w:val="009E34FF"/>
    <w:rsid w:val="009E4C88"/>
    <w:rsid w:val="009E5030"/>
    <w:rsid w:val="009E7B27"/>
    <w:rsid w:val="009F08B9"/>
    <w:rsid w:val="009F0DBE"/>
    <w:rsid w:val="009F13F1"/>
    <w:rsid w:val="009F2209"/>
    <w:rsid w:val="009F26A8"/>
    <w:rsid w:val="009F2C31"/>
    <w:rsid w:val="009F2E44"/>
    <w:rsid w:val="009F36FC"/>
    <w:rsid w:val="009F3E03"/>
    <w:rsid w:val="009F45FA"/>
    <w:rsid w:val="009F4C0F"/>
    <w:rsid w:val="00A00E94"/>
    <w:rsid w:val="00A027C1"/>
    <w:rsid w:val="00A0420A"/>
    <w:rsid w:val="00A04444"/>
    <w:rsid w:val="00A04DC9"/>
    <w:rsid w:val="00A06E15"/>
    <w:rsid w:val="00A073F1"/>
    <w:rsid w:val="00A07FF6"/>
    <w:rsid w:val="00A10C67"/>
    <w:rsid w:val="00A119BD"/>
    <w:rsid w:val="00A12016"/>
    <w:rsid w:val="00A127BA"/>
    <w:rsid w:val="00A12B05"/>
    <w:rsid w:val="00A12B21"/>
    <w:rsid w:val="00A15FE8"/>
    <w:rsid w:val="00A161A0"/>
    <w:rsid w:val="00A16984"/>
    <w:rsid w:val="00A17E08"/>
    <w:rsid w:val="00A208E4"/>
    <w:rsid w:val="00A21F2D"/>
    <w:rsid w:val="00A22D12"/>
    <w:rsid w:val="00A23A55"/>
    <w:rsid w:val="00A2403A"/>
    <w:rsid w:val="00A24622"/>
    <w:rsid w:val="00A24FBD"/>
    <w:rsid w:val="00A250F2"/>
    <w:rsid w:val="00A27E30"/>
    <w:rsid w:val="00A27ED7"/>
    <w:rsid w:val="00A32C24"/>
    <w:rsid w:val="00A3418B"/>
    <w:rsid w:val="00A352CB"/>
    <w:rsid w:val="00A364AA"/>
    <w:rsid w:val="00A36637"/>
    <w:rsid w:val="00A37836"/>
    <w:rsid w:val="00A379C7"/>
    <w:rsid w:val="00A37AC1"/>
    <w:rsid w:val="00A37BB1"/>
    <w:rsid w:val="00A37D2A"/>
    <w:rsid w:val="00A40388"/>
    <w:rsid w:val="00A41BF2"/>
    <w:rsid w:val="00A42D1B"/>
    <w:rsid w:val="00A43230"/>
    <w:rsid w:val="00A43E32"/>
    <w:rsid w:val="00A44BE0"/>
    <w:rsid w:val="00A44E99"/>
    <w:rsid w:val="00A4528C"/>
    <w:rsid w:val="00A46007"/>
    <w:rsid w:val="00A47BCF"/>
    <w:rsid w:val="00A47DC8"/>
    <w:rsid w:val="00A508AF"/>
    <w:rsid w:val="00A52958"/>
    <w:rsid w:val="00A52CAA"/>
    <w:rsid w:val="00A5386A"/>
    <w:rsid w:val="00A5586C"/>
    <w:rsid w:val="00A55A47"/>
    <w:rsid w:val="00A56341"/>
    <w:rsid w:val="00A57255"/>
    <w:rsid w:val="00A607EE"/>
    <w:rsid w:val="00A60FD7"/>
    <w:rsid w:val="00A63426"/>
    <w:rsid w:val="00A634A9"/>
    <w:rsid w:val="00A636AF"/>
    <w:rsid w:val="00A6488F"/>
    <w:rsid w:val="00A6721C"/>
    <w:rsid w:val="00A70CEB"/>
    <w:rsid w:val="00A70DA0"/>
    <w:rsid w:val="00A710D4"/>
    <w:rsid w:val="00A71DDE"/>
    <w:rsid w:val="00A7272E"/>
    <w:rsid w:val="00A73111"/>
    <w:rsid w:val="00A734B0"/>
    <w:rsid w:val="00A73668"/>
    <w:rsid w:val="00A73C63"/>
    <w:rsid w:val="00A7464F"/>
    <w:rsid w:val="00A7499C"/>
    <w:rsid w:val="00A802C7"/>
    <w:rsid w:val="00A803D2"/>
    <w:rsid w:val="00A8160E"/>
    <w:rsid w:val="00A8382E"/>
    <w:rsid w:val="00A83DD3"/>
    <w:rsid w:val="00A84A6B"/>
    <w:rsid w:val="00A84AE5"/>
    <w:rsid w:val="00A90D71"/>
    <w:rsid w:val="00A90DED"/>
    <w:rsid w:val="00A90E6C"/>
    <w:rsid w:val="00A91C41"/>
    <w:rsid w:val="00A9222C"/>
    <w:rsid w:val="00A94352"/>
    <w:rsid w:val="00A97D09"/>
    <w:rsid w:val="00AA2287"/>
    <w:rsid w:val="00AA3732"/>
    <w:rsid w:val="00AA3E72"/>
    <w:rsid w:val="00AA7422"/>
    <w:rsid w:val="00AA7FCE"/>
    <w:rsid w:val="00AB0E9A"/>
    <w:rsid w:val="00AB1327"/>
    <w:rsid w:val="00AB2208"/>
    <w:rsid w:val="00AB292B"/>
    <w:rsid w:val="00AB3436"/>
    <w:rsid w:val="00AB47DC"/>
    <w:rsid w:val="00AB4AEA"/>
    <w:rsid w:val="00AB50A5"/>
    <w:rsid w:val="00AB5A03"/>
    <w:rsid w:val="00AB5CE3"/>
    <w:rsid w:val="00AB66B2"/>
    <w:rsid w:val="00AB7884"/>
    <w:rsid w:val="00AC0F5B"/>
    <w:rsid w:val="00AC2788"/>
    <w:rsid w:val="00AC2D29"/>
    <w:rsid w:val="00AC3356"/>
    <w:rsid w:val="00AC3841"/>
    <w:rsid w:val="00AC3FC7"/>
    <w:rsid w:val="00AC4085"/>
    <w:rsid w:val="00AC46EE"/>
    <w:rsid w:val="00AC59A7"/>
    <w:rsid w:val="00AC629B"/>
    <w:rsid w:val="00AD1FF6"/>
    <w:rsid w:val="00AD2C46"/>
    <w:rsid w:val="00AD36F5"/>
    <w:rsid w:val="00AD3D05"/>
    <w:rsid w:val="00AD7E55"/>
    <w:rsid w:val="00AE0806"/>
    <w:rsid w:val="00AE0958"/>
    <w:rsid w:val="00AE15E7"/>
    <w:rsid w:val="00AE3271"/>
    <w:rsid w:val="00AE3F33"/>
    <w:rsid w:val="00AE51ED"/>
    <w:rsid w:val="00AE68D7"/>
    <w:rsid w:val="00AE79FF"/>
    <w:rsid w:val="00AE7AFF"/>
    <w:rsid w:val="00AF0500"/>
    <w:rsid w:val="00AF20D9"/>
    <w:rsid w:val="00AF2471"/>
    <w:rsid w:val="00AF2E51"/>
    <w:rsid w:val="00AF2F98"/>
    <w:rsid w:val="00AF60A9"/>
    <w:rsid w:val="00AF798D"/>
    <w:rsid w:val="00B00B21"/>
    <w:rsid w:val="00B01691"/>
    <w:rsid w:val="00B02808"/>
    <w:rsid w:val="00B03474"/>
    <w:rsid w:val="00B034F9"/>
    <w:rsid w:val="00B03BB8"/>
    <w:rsid w:val="00B04725"/>
    <w:rsid w:val="00B051A3"/>
    <w:rsid w:val="00B066A2"/>
    <w:rsid w:val="00B10541"/>
    <w:rsid w:val="00B1197E"/>
    <w:rsid w:val="00B12AE6"/>
    <w:rsid w:val="00B16290"/>
    <w:rsid w:val="00B20DE0"/>
    <w:rsid w:val="00B22D16"/>
    <w:rsid w:val="00B2322F"/>
    <w:rsid w:val="00B2536C"/>
    <w:rsid w:val="00B25965"/>
    <w:rsid w:val="00B25CD5"/>
    <w:rsid w:val="00B26A28"/>
    <w:rsid w:val="00B30085"/>
    <w:rsid w:val="00B30350"/>
    <w:rsid w:val="00B30F6A"/>
    <w:rsid w:val="00B31BD5"/>
    <w:rsid w:val="00B34A02"/>
    <w:rsid w:val="00B35EDC"/>
    <w:rsid w:val="00B3722B"/>
    <w:rsid w:val="00B408A5"/>
    <w:rsid w:val="00B409F0"/>
    <w:rsid w:val="00B40FFF"/>
    <w:rsid w:val="00B418CA"/>
    <w:rsid w:val="00B41A54"/>
    <w:rsid w:val="00B42634"/>
    <w:rsid w:val="00B42F75"/>
    <w:rsid w:val="00B47472"/>
    <w:rsid w:val="00B47B01"/>
    <w:rsid w:val="00B51459"/>
    <w:rsid w:val="00B51FEE"/>
    <w:rsid w:val="00B53950"/>
    <w:rsid w:val="00B54163"/>
    <w:rsid w:val="00B56D57"/>
    <w:rsid w:val="00B60D0B"/>
    <w:rsid w:val="00B61C37"/>
    <w:rsid w:val="00B6200E"/>
    <w:rsid w:val="00B624A7"/>
    <w:rsid w:val="00B63AD5"/>
    <w:rsid w:val="00B63BAF"/>
    <w:rsid w:val="00B65878"/>
    <w:rsid w:val="00B66F7F"/>
    <w:rsid w:val="00B70B31"/>
    <w:rsid w:val="00B72600"/>
    <w:rsid w:val="00B745F7"/>
    <w:rsid w:val="00B749B5"/>
    <w:rsid w:val="00B751B7"/>
    <w:rsid w:val="00B756E0"/>
    <w:rsid w:val="00B75749"/>
    <w:rsid w:val="00B75DC8"/>
    <w:rsid w:val="00B7670F"/>
    <w:rsid w:val="00B775F4"/>
    <w:rsid w:val="00B77DA4"/>
    <w:rsid w:val="00B8020F"/>
    <w:rsid w:val="00B8179E"/>
    <w:rsid w:val="00B81A18"/>
    <w:rsid w:val="00B81FB2"/>
    <w:rsid w:val="00B828B0"/>
    <w:rsid w:val="00B82C5A"/>
    <w:rsid w:val="00B8382B"/>
    <w:rsid w:val="00B85030"/>
    <w:rsid w:val="00B869EC"/>
    <w:rsid w:val="00B86A6D"/>
    <w:rsid w:val="00B86C31"/>
    <w:rsid w:val="00B921E3"/>
    <w:rsid w:val="00B92485"/>
    <w:rsid w:val="00B92E93"/>
    <w:rsid w:val="00B93985"/>
    <w:rsid w:val="00B94703"/>
    <w:rsid w:val="00B94822"/>
    <w:rsid w:val="00B959CB"/>
    <w:rsid w:val="00B96912"/>
    <w:rsid w:val="00BA1F67"/>
    <w:rsid w:val="00BA30AE"/>
    <w:rsid w:val="00BA3DCD"/>
    <w:rsid w:val="00BA5CCE"/>
    <w:rsid w:val="00BA5E44"/>
    <w:rsid w:val="00BA67B9"/>
    <w:rsid w:val="00BA6C81"/>
    <w:rsid w:val="00BA741D"/>
    <w:rsid w:val="00BB0068"/>
    <w:rsid w:val="00BB2304"/>
    <w:rsid w:val="00BB2673"/>
    <w:rsid w:val="00BB2ACF"/>
    <w:rsid w:val="00BB41A5"/>
    <w:rsid w:val="00BB42FE"/>
    <w:rsid w:val="00BB5057"/>
    <w:rsid w:val="00BB537B"/>
    <w:rsid w:val="00BB76EF"/>
    <w:rsid w:val="00BC293F"/>
    <w:rsid w:val="00BC4A09"/>
    <w:rsid w:val="00BC54AA"/>
    <w:rsid w:val="00BC68FE"/>
    <w:rsid w:val="00BC6D25"/>
    <w:rsid w:val="00BC7EE6"/>
    <w:rsid w:val="00BD04A0"/>
    <w:rsid w:val="00BD0502"/>
    <w:rsid w:val="00BD0A00"/>
    <w:rsid w:val="00BD16F5"/>
    <w:rsid w:val="00BD25C9"/>
    <w:rsid w:val="00BD3043"/>
    <w:rsid w:val="00BD313F"/>
    <w:rsid w:val="00BD6415"/>
    <w:rsid w:val="00BE182D"/>
    <w:rsid w:val="00BE1CA3"/>
    <w:rsid w:val="00BE2FC2"/>
    <w:rsid w:val="00BF04AF"/>
    <w:rsid w:val="00BF1F5E"/>
    <w:rsid w:val="00BF4272"/>
    <w:rsid w:val="00BF4F46"/>
    <w:rsid w:val="00BF513D"/>
    <w:rsid w:val="00BF6E23"/>
    <w:rsid w:val="00C00C20"/>
    <w:rsid w:val="00C03C85"/>
    <w:rsid w:val="00C0412E"/>
    <w:rsid w:val="00C11035"/>
    <w:rsid w:val="00C1216E"/>
    <w:rsid w:val="00C12DAD"/>
    <w:rsid w:val="00C13308"/>
    <w:rsid w:val="00C13488"/>
    <w:rsid w:val="00C14912"/>
    <w:rsid w:val="00C14A42"/>
    <w:rsid w:val="00C14FB9"/>
    <w:rsid w:val="00C15569"/>
    <w:rsid w:val="00C16235"/>
    <w:rsid w:val="00C23037"/>
    <w:rsid w:val="00C24465"/>
    <w:rsid w:val="00C24B4E"/>
    <w:rsid w:val="00C30D65"/>
    <w:rsid w:val="00C3297A"/>
    <w:rsid w:val="00C32E67"/>
    <w:rsid w:val="00C32FC5"/>
    <w:rsid w:val="00C3384B"/>
    <w:rsid w:val="00C33C5D"/>
    <w:rsid w:val="00C3429E"/>
    <w:rsid w:val="00C343E4"/>
    <w:rsid w:val="00C34B52"/>
    <w:rsid w:val="00C365B4"/>
    <w:rsid w:val="00C374BE"/>
    <w:rsid w:val="00C4087C"/>
    <w:rsid w:val="00C41101"/>
    <w:rsid w:val="00C41567"/>
    <w:rsid w:val="00C41E31"/>
    <w:rsid w:val="00C42336"/>
    <w:rsid w:val="00C42356"/>
    <w:rsid w:val="00C42DFF"/>
    <w:rsid w:val="00C42F43"/>
    <w:rsid w:val="00C4348F"/>
    <w:rsid w:val="00C439EC"/>
    <w:rsid w:val="00C4471A"/>
    <w:rsid w:val="00C45009"/>
    <w:rsid w:val="00C45736"/>
    <w:rsid w:val="00C459C4"/>
    <w:rsid w:val="00C46DB2"/>
    <w:rsid w:val="00C50B9A"/>
    <w:rsid w:val="00C51EAA"/>
    <w:rsid w:val="00C51FD7"/>
    <w:rsid w:val="00C52091"/>
    <w:rsid w:val="00C5355E"/>
    <w:rsid w:val="00C5400C"/>
    <w:rsid w:val="00C56730"/>
    <w:rsid w:val="00C56C63"/>
    <w:rsid w:val="00C57432"/>
    <w:rsid w:val="00C60979"/>
    <w:rsid w:val="00C60F2E"/>
    <w:rsid w:val="00C61501"/>
    <w:rsid w:val="00C62217"/>
    <w:rsid w:val="00C63DBB"/>
    <w:rsid w:val="00C63DC7"/>
    <w:rsid w:val="00C65253"/>
    <w:rsid w:val="00C70901"/>
    <w:rsid w:val="00C71387"/>
    <w:rsid w:val="00C71738"/>
    <w:rsid w:val="00C735F6"/>
    <w:rsid w:val="00C75361"/>
    <w:rsid w:val="00C75D3A"/>
    <w:rsid w:val="00C7637B"/>
    <w:rsid w:val="00C765A0"/>
    <w:rsid w:val="00C76BB0"/>
    <w:rsid w:val="00C7755C"/>
    <w:rsid w:val="00C776B0"/>
    <w:rsid w:val="00C80AC4"/>
    <w:rsid w:val="00C8127C"/>
    <w:rsid w:val="00C81F28"/>
    <w:rsid w:val="00C82319"/>
    <w:rsid w:val="00C83100"/>
    <w:rsid w:val="00C8359D"/>
    <w:rsid w:val="00C83814"/>
    <w:rsid w:val="00C83E4A"/>
    <w:rsid w:val="00C84EBF"/>
    <w:rsid w:val="00C85451"/>
    <w:rsid w:val="00C86F1F"/>
    <w:rsid w:val="00C9261E"/>
    <w:rsid w:val="00C946B0"/>
    <w:rsid w:val="00C947A7"/>
    <w:rsid w:val="00C94BA8"/>
    <w:rsid w:val="00C96C8D"/>
    <w:rsid w:val="00CA160D"/>
    <w:rsid w:val="00CA1933"/>
    <w:rsid w:val="00CA1FB9"/>
    <w:rsid w:val="00CA22E3"/>
    <w:rsid w:val="00CA2D17"/>
    <w:rsid w:val="00CA4119"/>
    <w:rsid w:val="00CA4741"/>
    <w:rsid w:val="00CA4FA2"/>
    <w:rsid w:val="00CA5162"/>
    <w:rsid w:val="00CA7D32"/>
    <w:rsid w:val="00CB1AA0"/>
    <w:rsid w:val="00CB31A8"/>
    <w:rsid w:val="00CB3DA7"/>
    <w:rsid w:val="00CB4697"/>
    <w:rsid w:val="00CB6B8B"/>
    <w:rsid w:val="00CB6C66"/>
    <w:rsid w:val="00CB7FC9"/>
    <w:rsid w:val="00CC1E35"/>
    <w:rsid w:val="00CC291F"/>
    <w:rsid w:val="00CC30C3"/>
    <w:rsid w:val="00CC36DC"/>
    <w:rsid w:val="00CC5A5E"/>
    <w:rsid w:val="00CC5DBD"/>
    <w:rsid w:val="00CC6748"/>
    <w:rsid w:val="00CC6DAB"/>
    <w:rsid w:val="00CD0249"/>
    <w:rsid w:val="00CD10C5"/>
    <w:rsid w:val="00CD23E4"/>
    <w:rsid w:val="00CD2E57"/>
    <w:rsid w:val="00CD3D85"/>
    <w:rsid w:val="00CD3E48"/>
    <w:rsid w:val="00CD5BEB"/>
    <w:rsid w:val="00CD5E0A"/>
    <w:rsid w:val="00CD6A30"/>
    <w:rsid w:val="00CD6E73"/>
    <w:rsid w:val="00CD74CE"/>
    <w:rsid w:val="00CD7A94"/>
    <w:rsid w:val="00CE0D4C"/>
    <w:rsid w:val="00CE1364"/>
    <w:rsid w:val="00CE1F61"/>
    <w:rsid w:val="00CE307A"/>
    <w:rsid w:val="00CE5609"/>
    <w:rsid w:val="00CE638A"/>
    <w:rsid w:val="00CE76F5"/>
    <w:rsid w:val="00CF4C5E"/>
    <w:rsid w:val="00CF5344"/>
    <w:rsid w:val="00CF5E97"/>
    <w:rsid w:val="00CF6E6C"/>
    <w:rsid w:val="00CF73F0"/>
    <w:rsid w:val="00D00F9A"/>
    <w:rsid w:val="00D011C2"/>
    <w:rsid w:val="00D01EF0"/>
    <w:rsid w:val="00D03EA6"/>
    <w:rsid w:val="00D04D23"/>
    <w:rsid w:val="00D0553F"/>
    <w:rsid w:val="00D057C5"/>
    <w:rsid w:val="00D05926"/>
    <w:rsid w:val="00D05D56"/>
    <w:rsid w:val="00D064A6"/>
    <w:rsid w:val="00D06B69"/>
    <w:rsid w:val="00D11BC0"/>
    <w:rsid w:val="00D120A0"/>
    <w:rsid w:val="00D1708B"/>
    <w:rsid w:val="00D176BB"/>
    <w:rsid w:val="00D178A8"/>
    <w:rsid w:val="00D2019F"/>
    <w:rsid w:val="00D21090"/>
    <w:rsid w:val="00D22440"/>
    <w:rsid w:val="00D2444C"/>
    <w:rsid w:val="00D24827"/>
    <w:rsid w:val="00D26ECF"/>
    <w:rsid w:val="00D27764"/>
    <w:rsid w:val="00D277E4"/>
    <w:rsid w:val="00D30620"/>
    <w:rsid w:val="00D30CFA"/>
    <w:rsid w:val="00D313A8"/>
    <w:rsid w:val="00D31B46"/>
    <w:rsid w:val="00D33670"/>
    <w:rsid w:val="00D34040"/>
    <w:rsid w:val="00D34FE3"/>
    <w:rsid w:val="00D35722"/>
    <w:rsid w:val="00D37906"/>
    <w:rsid w:val="00D409CE"/>
    <w:rsid w:val="00D41058"/>
    <w:rsid w:val="00D42EC6"/>
    <w:rsid w:val="00D435FC"/>
    <w:rsid w:val="00D43741"/>
    <w:rsid w:val="00D43A26"/>
    <w:rsid w:val="00D44DC4"/>
    <w:rsid w:val="00D46147"/>
    <w:rsid w:val="00D465CC"/>
    <w:rsid w:val="00D465EB"/>
    <w:rsid w:val="00D4696C"/>
    <w:rsid w:val="00D46EFF"/>
    <w:rsid w:val="00D50836"/>
    <w:rsid w:val="00D50B94"/>
    <w:rsid w:val="00D52CCE"/>
    <w:rsid w:val="00D53AD0"/>
    <w:rsid w:val="00D54B72"/>
    <w:rsid w:val="00D55096"/>
    <w:rsid w:val="00D553C9"/>
    <w:rsid w:val="00D556B4"/>
    <w:rsid w:val="00D5727F"/>
    <w:rsid w:val="00D57FA8"/>
    <w:rsid w:val="00D60310"/>
    <w:rsid w:val="00D61A9B"/>
    <w:rsid w:val="00D62118"/>
    <w:rsid w:val="00D641D1"/>
    <w:rsid w:val="00D64AD0"/>
    <w:rsid w:val="00D671F8"/>
    <w:rsid w:val="00D67461"/>
    <w:rsid w:val="00D71625"/>
    <w:rsid w:val="00D7165F"/>
    <w:rsid w:val="00D727C4"/>
    <w:rsid w:val="00D728E8"/>
    <w:rsid w:val="00D747E8"/>
    <w:rsid w:val="00D7659D"/>
    <w:rsid w:val="00D76765"/>
    <w:rsid w:val="00D7753E"/>
    <w:rsid w:val="00D8095E"/>
    <w:rsid w:val="00D8117A"/>
    <w:rsid w:val="00D81479"/>
    <w:rsid w:val="00D83D4B"/>
    <w:rsid w:val="00D84068"/>
    <w:rsid w:val="00D85502"/>
    <w:rsid w:val="00D85A9B"/>
    <w:rsid w:val="00D87BD2"/>
    <w:rsid w:val="00D87CEF"/>
    <w:rsid w:val="00D910A6"/>
    <w:rsid w:val="00D91201"/>
    <w:rsid w:val="00D93E8B"/>
    <w:rsid w:val="00D9787F"/>
    <w:rsid w:val="00D97C0D"/>
    <w:rsid w:val="00D97E07"/>
    <w:rsid w:val="00D97FBD"/>
    <w:rsid w:val="00DA1A64"/>
    <w:rsid w:val="00DA23DA"/>
    <w:rsid w:val="00DA32B3"/>
    <w:rsid w:val="00DA4CF3"/>
    <w:rsid w:val="00DA5518"/>
    <w:rsid w:val="00DA579A"/>
    <w:rsid w:val="00DA5F30"/>
    <w:rsid w:val="00DA6F9D"/>
    <w:rsid w:val="00DB2007"/>
    <w:rsid w:val="00DB263B"/>
    <w:rsid w:val="00DB276B"/>
    <w:rsid w:val="00DB2A16"/>
    <w:rsid w:val="00DB3EBF"/>
    <w:rsid w:val="00DB4FB5"/>
    <w:rsid w:val="00DB74A9"/>
    <w:rsid w:val="00DB7C7B"/>
    <w:rsid w:val="00DC02DB"/>
    <w:rsid w:val="00DC03D1"/>
    <w:rsid w:val="00DC0B93"/>
    <w:rsid w:val="00DC0BA9"/>
    <w:rsid w:val="00DC109A"/>
    <w:rsid w:val="00DC1ADE"/>
    <w:rsid w:val="00DC2113"/>
    <w:rsid w:val="00DC27EF"/>
    <w:rsid w:val="00DC2C40"/>
    <w:rsid w:val="00DC4095"/>
    <w:rsid w:val="00DC4620"/>
    <w:rsid w:val="00DC4AC2"/>
    <w:rsid w:val="00DC746E"/>
    <w:rsid w:val="00DD033E"/>
    <w:rsid w:val="00DD060C"/>
    <w:rsid w:val="00DD1099"/>
    <w:rsid w:val="00DD16F1"/>
    <w:rsid w:val="00DD1E45"/>
    <w:rsid w:val="00DD34A9"/>
    <w:rsid w:val="00DD3B69"/>
    <w:rsid w:val="00DD3FAB"/>
    <w:rsid w:val="00DD526F"/>
    <w:rsid w:val="00DD56FF"/>
    <w:rsid w:val="00DD6A1E"/>
    <w:rsid w:val="00DD6D38"/>
    <w:rsid w:val="00DD6D4C"/>
    <w:rsid w:val="00DD6DB1"/>
    <w:rsid w:val="00DD7165"/>
    <w:rsid w:val="00DD7C6D"/>
    <w:rsid w:val="00DE143F"/>
    <w:rsid w:val="00DE1861"/>
    <w:rsid w:val="00DE2301"/>
    <w:rsid w:val="00DE3BE6"/>
    <w:rsid w:val="00DE4A14"/>
    <w:rsid w:val="00DE64F3"/>
    <w:rsid w:val="00DE7C4B"/>
    <w:rsid w:val="00DF033B"/>
    <w:rsid w:val="00DF13CB"/>
    <w:rsid w:val="00DF14A4"/>
    <w:rsid w:val="00DF254D"/>
    <w:rsid w:val="00DF361B"/>
    <w:rsid w:val="00DF4667"/>
    <w:rsid w:val="00DF53C5"/>
    <w:rsid w:val="00DF5BDC"/>
    <w:rsid w:val="00DF5C99"/>
    <w:rsid w:val="00DF7129"/>
    <w:rsid w:val="00DF7F9A"/>
    <w:rsid w:val="00E00B4B"/>
    <w:rsid w:val="00E00EE5"/>
    <w:rsid w:val="00E01216"/>
    <w:rsid w:val="00E01A5F"/>
    <w:rsid w:val="00E01FB2"/>
    <w:rsid w:val="00E03D7C"/>
    <w:rsid w:val="00E03F74"/>
    <w:rsid w:val="00E04F74"/>
    <w:rsid w:val="00E0567C"/>
    <w:rsid w:val="00E05B73"/>
    <w:rsid w:val="00E06475"/>
    <w:rsid w:val="00E07738"/>
    <w:rsid w:val="00E1205E"/>
    <w:rsid w:val="00E14F66"/>
    <w:rsid w:val="00E15B03"/>
    <w:rsid w:val="00E16377"/>
    <w:rsid w:val="00E174E0"/>
    <w:rsid w:val="00E17EAE"/>
    <w:rsid w:val="00E17F88"/>
    <w:rsid w:val="00E200CC"/>
    <w:rsid w:val="00E20FA0"/>
    <w:rsid w:val="00E219FC"/>
    <w:rsid w:val="00E21DC8"/>
    <w:rsid w:val="00E2227F"/>
    <w:rsid w:val="00E2265B"/>
    <w:rsid w:val="00E23B04"/>
    <w:rsid w:val="00E23F97"/>
    <w:rsid w:val="00E25836"/>
    <w:rsid w:val="00E269A8"/>
    <w:rsid w:val="00E275CD"/>
    <w:rsid w:val="00E27B83"/>
    <w:rsid w:val="00E34526"/>
    <w:rsid w:val="00E34F6F"/>
    <w:rsid w:val="00E35560"/>
    <w:rsid w:val="00E37A0F"/>
    <w:rsid w:val="00E4039A"/>
    <w:rsid w:val="00E40DD8"/>
    <w:rsid w:val="00E415D1"/>
    <w:rsid w:val="00E42B7D"/>
    <w:rsid w:val="00E42FF8"/>
    <w:rsid w:val="00E431BD"/>
    <w:rsid w:val="00E44E8D"/>
    <w:rsid w:val="00E501A2"/>
    <w:rsid w:val="00E50A9A"/>
    <w:rsid w:val="00E54B76"/>
    <w:rsid w:val="00E60CD4"/>
    <w:rsid w:val="00E6176C"/>
    <w:rsid w:val="00E61EA7"/>
    <w:rsid w:val="00E622B9"/>
    <w:rsid w:val="00E624EA"/>
    <w:rsid w:val="00E6320B"/>
    <w:rsid w:val="00E63869"/>
    <w:rsid w:val="00E64291"/>
    <w:rsid w:val="00E64FCD"/>
    <w:rsid w:val="00E66A89"/>
    <w:rsid w:val="00E66BC2"/>
    <w:rsid w:val="00E70509"/>
    <w:rsid w:val="00E7058C"/>
    <w:rsid w:val="00E7158B"/>
    <w:rsid w:val="00E71E60"/>
    <w:rsid w:val="00E72D1F"/>
    <w:rsid w:val="00E72F37"/>
    <w:rsid w:val="00E73E9E"/>
    <w:rsid w:val="00E73FD3"/>
    <w:rsid w:val="00E74500"/>
    <w:rsid w:val="00E755D3"/>
    <w:rsid w:val="00E75A76"/>
    <w:rsid w:val="00E77817"/>
    <w:rsid w:val="00E800AB"/>
    <w:rsid w:val="00E802CC"/>
    <w:rsid w:val="00E8078C"/>
    <w:rsid w:val="00E826BD"/>
    <w:rsid w:val="00E8309D"/>
    <w:rsid w:val="00E83421"/>
    <w:rsid w:val="00E83DF5"/>
    <w:rsid w:val="00E8743C"/>
    <w:rsid w:val="00E87B52"/>
    <w:rsid w:val="00E87CF4"/>
    <w:rsid w:val="00E909C9"/>
    <w:rsid w:val="00E91799"/>
    <w:rsid w:val="00E92829"/>
    <w:rsid w:val="00E92CC8"/>
    <w:rsid w:val="00E92E34"/>
    <w:rsid w:val="00E95E65"/>
    <w:rsid w:val="00E963C7"/>
    <w:rsid w:val="00E972E0"/>
    <w:rsid w:val="00EA0D11"/>
    <w:rsid w:val="00EA1BC9"/>
    <w:rsid w:val="00EA2189"/>
    <w:rsid w:val="00EA2CB2"/>
    <w:rsid w:val="00EA2D61"/>
    <w:rsid w:val="00EA4E92"/>
    <w:rsid w:val="00EA5DDB"/>
    <w:rsid w:val="00EA77B6"/>
    <w:rsid w:val="00EA7849"/>
    <w:rsid w:val="00EB0386"/>
    <w:rsid w:val="00EB071F"/>
    <w:rsid w:val="00EB0A92"/>
    <w:rsid w:val="00EB1D3A"/>
    <w:rsid w:val="00EB4E2C"/>
    <w:rsid w:val="00EB6009"/>
    <w:rsid w:val="00EB64C7"/>
    <w:rsid w:val="00EC07AA"/>
    <w:rsid w:val="00EC0D4F"/>
    <w:rsid w:val="00EC2235"/>
    <w:rsid w:val="00EC5F23"/>
    <w:rsid w:val="00EC700A"/>
    <w:rsid w:val="00ED0147"/>
    <w:rsid w:val="00ED06FD"/>
    <w:rsid w:val="00ED076C"/>
    <w:rsid w:val="00ED0C12"/>
    <w:rsid w:val="00ED1258"/>
    <w:rsid w:val="00ED1F51"/>
    <w:rsid w:val="00ED2510"/>
    <w:rsid w:val="00ED26BB"/>
    <w:rsid w:val="00ED2B23"/>
    <w:rsid w:val="00ED52BE"/>
    <w:rsid w:val="00ED5602"/>
    <w:rsid w:val="00EE0804"/>
    <w:rsid w:val="00EE0AF0"/>
    <w:rsid w:val="00EE0D85"/>
    <w:rsid w:val="00EE3566"/>
    <w:rsid w:val="00EE4EF8"/>
    <w:rsid w:val="00EE51F7"/>
    <w:rsid w:val="00EE7910"/>
    <w:rsid w:val="00EE7FA1"/>
    <w:rsid w:val="00EF09BD"/>
    <w:rsid w:val="00EF1A64"/>
    <w:rsid w:val="00EF2EDC"/>
    <w:rsid w:val="00EF512C"/>
    <w:rsid w:val="00EF58D1"/>
    <w:rsid w:val="00EF6B6C"/>
    <w:rsid w:val="00F0014B"/>
    <w:rsid w:val="00F0024B"/>
    <w:rsid w:val="00F01929"/>
    <w:rsid w:val="00F02884"/>
    <w:rsid w:val="00F028E8"/>
    <w:rsid w:val="00F02FB3"/>
    <w:rsid w:val="00F030FC"/>
    <w:rsid w:val="00F040D8"/>
    <w:rsid w:val="00F043D1"/>
    <w:rsid w:val="00F045F8"/>
    <w:rsid w:val="00F04C77"/>
    <w:rsid w:val="00F05E79"/>
    <w:rsid w:val="00F07168"/>
    <w:rsid w:val="00F109DB"/>
    <w:rsid w:val="00F10B28"/>
    <w:rsid w:val="00F125F6"/>
    <w:rsid w:val="00F127AB"/>
    <w:rsid w:val="00F127FD"/>
    <w:rsid w:val="00F13BC7"/>
    <w:rsid w:val="00F14123"/>
    <w:rsid w:val="00F155D4"/>
    <w:rsid w:val="00F15907"/>
    <w:rsid w:val="00F20780"/>
    <w:rsid w:val="00F20A38"/>
    <w:rsid w:val="00F220AB"/>
    <w:rsid w:val="00F2472D"/>
    <w:rsid w:val="00F24FDE"/>
    <w:rsid w:val="00F253AB"/>
    <w:rsid w:val="00F25904"/>
    <w:rsid w:val="00F276C4"/>
    <w:rsid w:val="00F30DA8"/>
    <w:rsid w:val="00F31BE4"/>
    <w:rsid w:val="00F33324"/>
    <w:rsid w:val="00F33602"/>
    <w:rsid w:val="00F36A52"/>
    <w:rsid w:val="00F37D1A"/>
    <w:rsid w:val="00F40797"/>
    <w:rsid w:val="00F41218"/>
    <w:rsid w:val="00F41708"/>
    <w:rsid w:val="00F41732"/>
    <w:rsid w:val="00F421F4"/>
    <w:rsid w:val="00F4299E"/>
    <w:rsid w:val="00F44245"/>
    <w:rsid w:val="00F45309"/>
    <w:rsid w:val="00F45778"/>
    <w:rsid w:val="00F47497"/>
    <w:rsid w:val="00F47904"/>
    <w:rsid w:val="00F47B8C"/>
    <w:rsid w:val="00F51DDB"/>
    <w:rsid w:val="00F53312"/>
    <w:rsid w:val="00F551E5"/>
    <w:rsid w:val="00F569DC"/>
    <w:rsid w:val="00F57143"/>
    <w:rsid w:val="00F57B07"/>
    <w:rsid w:val="00F60077"/>
    <w:rsid w:val="00F60890"/>
    <w:rsid w:val="00F60A2D"/>
    <w:rsid w:val="00F616F8"/>
    <w:rsid w:val="00F630F4"/>
    <w:rsid w:val="00F63233"/>
    <w:rsid w:val="00F63527"/>
    <w:rsid w:val="00F643E0"/>
    <w:rsid w:val="00F64BC8"/>
    <w:rsid w:val="00F64C53"/>
    <w:rsid w:val="00F64E0F"/>
    <w:rsid w:val="00F65046"/>
    <w:rsid w:val="00F66999"/>
    <w:rsid w:val="00F66A1E"/>
    <w:rsid w:val="00F66AAE"/>
    <w:rsid w:val="00F672B6"/>
    <w:rsid w:val="00F7073C"/>
    <w:rsid w:val="00F71C7F"/>
    <w:rsid w:val="00F72056"/>
    <w:rsid w:val="00F72146"/>
    <w:rsid w:val="00F72278"/>
    <w:rsid w:val="00F7285D"/>
    <w:rsid w:val="00F72D3E"/>
    <w:rsid w:val="00F73AB2"/>
    <w:rsid w:val="00F73B3D"/>
    <w:rsid w:val="00F7710B"/>
    <w:rsid w:val="00F77BF0"/>
    <w:rsid w:val="00F80211"/>
    <w:rsid w:val="00F8227F"/>
    <w:rsid w:val="00F836A2"/>
    <w:rsid w:val="00F83723"/>
    <w:rsid w:val="00F83733"/>
    <w:rsid w:val="00F84D0E"/>
    <w:rsid w:val="00F85537"/>
    <w:rsid w:val="00F855FE"/>
    <w:rsid w:val="00F8746B"/>
    <w:rsid w:val="00F91768"/>
    <w:rsid w:val="00F9446B"/>
    <w:rsid w:val="00F95F50"/>
    <w:rsid w:val="00FA041A"/>
    <w:rsid w:val="00FA04F9"/>
    <w:rsid w:val="00FA0A3B"/>
    <w:rsid w:val="00FA1513"/>
    <w:rsid w:val="00FA19EF"/>
    <w:rsid w:val="00FA1C96"/>
    <w:rsid w:val="00FA28DD"/>
    <w:rsid w:val="00FA2B08"/>
    <w:rsid w:val="00FA7EA4"/>
    <w:rsid w:val="00FB0584"/>
    <w:rsid w:val="00FB15C0"/>
    <w:rsid w:val="00FB1E6F"/>
    <w:rsid w:val="00FB1F09"/>
    <w:rsid w:val="00FB22E4"/>
    <w:rsid w:val="00FB269C"/>
    <w:rsid w:val="00FB27EA"/>
    <w:rsid w:val="00FB2FCB"/>
    <w:rsid w:val="00FB336D"/>
    <w:rsid w:val="00FB7212"/>
    <w:rsid w:val="00FC05F5"/>
    <w:rsid w:val="00FC0A9F"/>
    <w:rsid w:val="00FC0F2C"/>
    <w:rsid w:val="00FC1050"/>
    <w:rsid w:val="00FC277C"/>
    <w:rsid w:val="00FC316E"/>
    <w:rsid w:val="00FC3201"/>
    <w:rsid w:val="00FC336A"/>
    <w:rsid w:val="00FC34B6"/>
    <w:rsid w:val="00FC4DB8"/>
    <w:rsid w:val="00FC4EAC"/>
    <w:rsid w:val="00FC55C1"/>
    <w:rsid w:val="00FC58C9"/>
    <w:rsid w:val="00FC78D8"/>
    <w:rsid w:val="00FC7DE0"/>
    <w:rsid w:val="00FC7F2F"/>
    <w:rsid w:val="00FD0E26"/>
    <w:rsid w:val="00FD18F7"/>
    <w:rsid w:val="00FD1A12"/>
    <w:rsid w:val="00FD2FF7"/>
    <w:rsid w:val="00FD3E87"/>
    <w:rsid w:val="00FD4EA5"/>
    <w:rsid w:val="00FD5FCB"/>
    <w:rsid w:val="00FD658D"/>
    <w:rsid w:val="00FE0DC2"/>
    <w:rsid w:val="00FE10AA"/>
    <w:rsid w:val="00FE1207"/>
    <w:rsid w:val="00FE12A2"/>
    <w:rsid w:val="00FE1470"/>
    <w:rsid w:val="00FE1CB5"/>
    <w:rsid w:val="00FE2C7D"/>
    <w:rsid w:val="00FE40A0"/>
    <w:rsid w:val="00FE43C1"/>
    <w:rsid w:val="00FE4FF1"/>
    <w:rsid w:val="00FE639D"/>
    <w:rsid w:val="00FE72D9"/>
    <w:rsid w:val="00FF0E1D"/>
    <w:rsid w:val="00FF0F66"/>
    <w:rsid w:val="00FF2448"/>
    <w:rsid w:val="00FF2BAC"/>
    <w:rsid w:val="00FF386F"/>
    <w:rsid w:val="00FF4A67"/>
    <w:rsid w:val="00FF4B93"/>
    <w:rsid w:val="00FF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iPriority="0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2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412B0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12B0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12B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12B0"/>
    <w:pPr>
      <w:keepNext/>
      <w:numPr>
        <w:numId w:val="1"/>
      </w:numPr>
      <w:tabs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aliases w:val="Sub-Minor,Oscar Faber 4,Te,Te1,Te2,Te3,Te4,Te5,Te6,Te7,Te8,Te9,Te10,Te11,Te91,Te12,Te21,Te31,Te41,Te51,Te61,Te71,Te81,Te92,Te101,Te111,Te911,Te13,Te22,Te32,Te42,Te52,Te62,Te72,Te82,Te93,Te102,Te112,Te912,Te14,Te23,Te33,Te43,Te53,Te63,Te73"/>
    <w:basedOn w:val="Normal"/>
    <w:next w:val="Normal"/>
    <w:link w:val="Heading4Char"/>
    <w:uiPriority w:val="99"/>
    <w:qFormat/>
    <w:rsid w:val="003412B0"/>
    <w:pPr>
      <w:keepNext/>
      <w:numPr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12B0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12B0"/>
    <w:pPr>
      <w:keepNext/>
      <w:tabs>
        <w:tab w:val="left" w:pos="2970"/>
      </w:tabs>
      <w:jc w:val="center"/>
      <w:outlineLvl w:val="5"/>
    </w:pPr>
    <w:rPr>
      <w:b/>
      <w:bCs/>
      <w:iCs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12B0"/>
    <w:pPr>
      <w:keepNext/>
      <w:ind w:left="360"/>
      <w:jc w:val="both"/>
      <w:outlineLvl w:val="6"/>
    </w:pPr>
    <w:rPr>
      <w:b/>
      <w:iCs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12B0"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3412B0"/>
    <w:pPr>
      <w:keepNext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3E87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2BCE"/>
    <w:rPr>
      <w:rFonts w:cs="Times New Roman"/>
      <w:b/>
      <w:bCs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D3E87"/>
    <w:rPr>
      <w:rFonts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aliases w:val="Sub-Minor Char,Oscar Faber 4 Char,Te Char,Te1 Char,Te2 Char,Te3 Char,Te4 Char,Te5 Char,Te6 Char,Te7 Char,Te8 Char,Te9 Char,Te10 Char,Te11 Char,Te91 Char,Te12 Char,Te21 Char,Te31 Char,Te41 Char,Te51 Char,Te61 Char,Te71 Char,Te81 Char"/>
    <w:basedOn w:val="DefaultParagraphFont"/>
    <w:link w:val="Heading4"/>
    <w:uiPriority w:val="99"/>
    <w:locked/>
    <w:rsid w:val="00B418CA"/>
    <w:rPr>
      <w:rFonts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D3E87"/>
    <w:rPr>
      <w:rFonts w:ascii="Calibri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64CC3"/>
    <w:rPr>
      <w:rFonts w:cs="Times New Roman"/>
      <w:b/>
      <w:bCs/>
      <w:iCs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D3E87"/>
    <w:rPr>
      <w:rFonts w:ascii="Calibri" w:hAnsi="Calibri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D3E87"/>
    <w:rPr>
      <w:rFonts w:ascii="Calibri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D3E87"/>
    <w:rPr>
      <w:rFonts w:ascii="Cambria" w:hAnsi="Cambria" w:cs="Times New Roman"/>
      <w:lang w:val="en-GB"/>
    </w:rPr>
  </w:style>
  <w:style w:type="paragraph" w:styleId="Footer">
    <w:name w:val="footer"/>
    <w:basedOn w:val="Normal"/>
    <w:link w:val="FooterChar"/>
    <w:uiPriority w:val="99"/>
    <w:rsid w:val="003412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3412B0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3412B0"/>
    <w:pPr>
      <w:ind w:left="360"/>
    </w:pPr>
    <w:rPr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3412B0"/>
    <w:pPr>
      <w:ind w:left="720"/>
      <w:jc w:val="both"/>
    </w:pPr>
    <w:rPr>
      <w:bCs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4963"/>
    <w:rPr>
      <w:rFonts w:cs="Times New Roman"/>
      <w:bCs/>
      <w:iCs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12B0"/>
    <w:pPr>
      <w:ind w:left="360"/>
      <w:jc w:val="both"/>
    </w:pPr>
    <w:rPr>
      <w:i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3412B0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rsid w:val="003412B0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customStyle="1" w:styleId="Pa3">
    <w:name w:val="Pa3"/>
    <w:basedOn w:val="Normal"/>
    <w:next w:val="Normal"/>
    <w:uiPriority w:val="99"/>
    <w:rsid w:val="003412B0"/>
    <w:pPr>
      <w:autoSpaceDE w:val="0"/>
      <w:autoSpaceDN w:val="0"/>
      <w:adjustRightInd w:val="0"/>
      <w:spacing w:after="220" w:line="201" w:lineRule="atLeast"/>
    </w:pPr>
    <w:rPr>
      <w:rFonts w:ascii="Univers" w:hAnsi="Univers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4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3E87"/>
    <w:rPr>
      <w:rFonts w:cs="Times New Roman"/>
      <w:sz w:val="2"/>
      <w:lang w:val="en-GB"/>
    </w:rPr>
  </w:style>
  <w:style w:type="paragraph" w:styleId="ListParagraph">
    <w:name w:val="List Paragraph"/>
    <w:basedOn w:val="Normal"/>
    <w:uiPriority w:val="99"/>
    <w:qFormat/>
    <w:rsid w:val="00A529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529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E23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D3E87"/>
    <w:rPr>
      <w:rFonts w:cs="Times New Roman"/>
      <w:sz w:val="2"/>
      <w:lang w:val="en-GB"/>
    </w:rPr>
  </w:style>
  <w:style w:type="paragraph" w:customStyle="1" w:styleId="Default">
    <w:name w:val="Default"/>
    <w:uiPriority w:val="99"/>
    <w:rsid w:val="005729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rsid w:val="00CB6B8B"/>
    <w:pPr>
      <w:spacing w:before="145" w:after="73"/>
    </w:pPr>
    <w:rPr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rsid w:val="008F2CB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F2C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F2CB2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2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F2CB2"/>
    <w:rPr>
      <w:b/>
      <w:bCs/>
    </w:rPr>
  </w:style>
  <w:style w:type="paragraph" w:styleId="Header">
    <w:name w:val="header"/>
    <w:basedOn w:val="Normal"/>
    <w:link w:val="HeaderChar"/>
    <w:rsid w:val="009871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7192"/>
    <w:rPr>
      <w:rFonts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98719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locked/>
    <w:rsid w:val="00987192"/>
    <w:rPr>
      <w:rFonts w:cs="Times New Roman"/>
      <w:b/>
      <w:sz w:val="22"/>
      <w:lang w:eastAsia="en-US"/>
    </w:rPr>
  </w:style>
  <w:style w:type="character" w:customStyle="1" w:styleId="CharChar4">
    <w:name w:val="Char Char4"/>
    <w:basedOn w:val="DefaultParagraphFont"/>
    <w:uiPriority w:val="99"/>
    <w:locked/>
    <w:rsid w:val="0068381A"/>
    <w:rPr>
      <w:rFonts w:cs="Times New Roman"/>
      <w:iCs/>
      <w:sz w:val="24"/>
      <w:szCs w:val="24"/>
      <w:lang w:eastAsia="en-US"/>
    </w:rPr>
  </w:style>
  <w:style w:type="character" w:customStyle="1" w:styleId="CharChar6">
    <w:name w:val="Char Char6"/>
    <w:basedOn w:val="DefaultParagraphFont"/>
    <w:uiPriority w:val="99"/>
    <w:locked/>
    <w:rsid w:val="006C0D89"/>
    <w:rPr>
      <w:rFonts w:cs="Times New Roman"/>
      <w:iCs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345B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250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53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53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39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2527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529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531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532">
          <w:marLeft w:val="136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728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6</cp:revision>
  <cp:lastPrinted>2017-10-30T12:05:00Z</cp:lastPrinted>
  <dcterms:created xsi:type="dcterms:W3CDTF">2018-05-21T07:49:00Z</dcterms:created>
  <dcterms:modified xsi:type="dcterms:W3CDTF">2018-06-20T15:14:00Z</dcterms:modified>
</cp:coreProperties>
</file>