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435" w:rsidRDefault="00747435">
      <w:pPr>
        <w:rPr>
          <w:b/>
          <w:szCs w:val="24"/>
        </w:rPr>
      </w:pPr>
    </w:p>
    <w:p w:rsidR="00347931" w:rsidRDefault="00347931">
      <w:pPr>
        <w:rPr>
          <w:b/>
          <w:szCs w:val="24"/>
        </w:rPr>
      </w:pPr>
    </w:p>
    <w:p w:rsidR="002E1194" w:rsidRDefault="002E1194">
      <w:pPr>
        <w:pStyle w:val="BodyText"/>
        <w:jc w:val="center"/>
        <w:rPr>
          <w:b/>
          <w:szCs w:val="24"/>
        </w:rPr>
      </w:pPr>
    </w:p>
    <w:p w:rsidR="002E1194" w:rsidRDefault="002E1194">
      <w:pPr>
        <w:pStyle w:val="BodyText"/>
        <w:jc w:val="center"/>
        <w:rPr>
          <w:b/>
          <w:szCs w:val="24"/>
        </w:rPr>
      </w:pPr>
    </w:p>
    <w:p w:rsidR="002E1194" w:rsidRDefault="002E1194">
      <w:pPr>
        <w:pStyle w:val="BodyText"/>
        <w:jc w:val="center"/>
        <w:rPr>
          <w:b/>
          <w:szCs w:val="24"/>
        </w:rPr>
      </w:pPr>
    </w:p>
    <w:p w:rsidR="002E1194" w:rsidRDefault="002E1194">
      <w:pPr>
        <w:pStyle w:val="BodyText"/>
        <w:jc w:val="center"/>
        <w:rPr>
          <w:b/>
          <w:szCs w:val="24"/>
        </w:rPr>
      </w:pPr>
    </w:p>
    <w:p w:rsidR="002E1194" w:rsidRDefault="002E1194">
      <w:pPr>
        <w:pStyle w:val="BodyText"/>
        <w:jc w:val="center"/>
        <w:rPr>
          <w:b/>
          <w:szCs w:val="24"/>
        </w:rPr>
      </w:pPr>
    </w:p>
    <w:p w:rsidR="002E1194" w:rsidRDefault="002E1194">
      <w:pPr>
        <w:pStyle w:val="BodyText"/>
        <w:jc w:val="center"/>
        <w:rPr>
          <w:b/>
          <w:szCs w:val="24"/>
        </w:rPr>
      </w:pPr>
    </w:p>
    <w:p w:rsidR="002E1194" w:rsidRDefault="002E1194">
      <w:pPr>
        <w:pStyle w:val="BodyText"/>
        <w:jc w:val="center"/>
        <w:rPr>
          <w:b/>
          <w:szCs w:val="24"/>
        </w:rPr>
      </w:pPr>
    </w:p>
    <w:p w:rsidR="00AD0FD4" w:rsidRDefault="00AD0FD4">
      <w:pPr>
        <w:pStyle w:val="BodyText"/>
        <w:jc w:val="center"/>
        <w:rPr>
          <w:b/>
          <w:szCs w:val="24"/>
        </w:rPr>
      </w:pPr>
    </w:p>
    <w:p w:rsidR="00AD0FD4" w:rsidRDefault="00AD0FD4">
      <w:pPr>
        <w:pStyle w:val="BodyText"/>
        <w:jc w:val="center"/>
        <w:rPr>
          <w:b/>
          <w:szCs w:val="24"/>
        </w:rPr>
      </w:pPr>
    </w:p>
    <w:p w:rsidR="00AD0FD4" w:rsidRDefault="00AD0FD4">
      <w:pPr>
        <w:pStyle w:val="BodyText"/>
        <w:jc w:val="center"/>
        <w:rPr>
          <w:b/>
          <w:szCs w:val="24"/>
        </w:rPr>
      </w:pPr>
    </w:p>
    <w:p w:rsidR="00AD0FD4" w:rsidRDefault="00AD0FD4">
      <w:pPr>
        <w:pStyle w:val="BodyText"/>
        <w:jc w:val="center"/>
        <w:rPr>
          <w:b/>
          <w:szCs w:val="24"/>
        </w:rPr>
      </w:pPr>
    </w:p>
    <w:p w:rsidR="002E1194" w:rsidRDefault="002E1194">
      <w:pPr>
        <w:pStyle w:val="BodyText"/>
        <w:jc w:val="center"/>
        <w:rPr>
          <w:rFonts w:cs="Arial"/>
          <w:b/>
          <w:szCs w:val="24"/>
        </w:rPr>
      </w:pPr>
    </w:p>
    <w:p w:rsidR="002E1194" w:rsidRDefault="002E1194">
      <w:pPr>
        <w:pStyle w:val="BodyText"/>
        <w:jc w:val="center"/>
        <w:rPr>
          <w:rFonts w:cs="Arial"/>
          <w:b/>
          <w:szCs w:val="24"/>
        </w:rPr>
      </w:pPr>
    </w:p>
    <w:p w:rsidR="00AD0FD4" w:rsidRDefault="002E1194" w:rsidP="007C7586">
      <w:pPr>
        <w:pStyle w:val="BodyText"/>
        <w:jc w:val="center"/>
        <w:rPr>
          <w:rFonts w:cs="Arial"/>
          <w:b/>
          <w:sz w:val="48"/>
          <w:szCs w:val="48"/>
        </w:rPr>
      </w:pPr>
      <w:r>
        <w:rPr>
          <w:rFonts w:cs="Arial"/>
          <w:b/>
          <w:sz w:val="48"/>
          <w:szCs w:val="48"/>
        </w:rPr>
        <w:t xml:space="preserve">Clinical Governance </w:t>
      </w:r>
      <w:r w:rsidR="00AD0FD4">
        <w:rPr>
          <w:rFonts w:cs="Arial"/>
          <w:b/>
          <w:sz w:val="48"/>
          <w:szCs w:val="48"/>
        </w:rPr>
        <w:t>Committee</w:t>
      </w:r>
    </w:p>
    <w:p w:rsidR="00AD0FD4" w:rsidRDefault="00AD0FD4" w:rsidP="007C7586">
      <w:pPr>
        <w:pStyle w:val="BodyText"/>
        <w:jc w:val="center"/>
        <w:rPr>
          <w:rFonts w:cs="Arial"/>
          <w:b/>
          <w:sz w:val="48"/>
          <w:szCs w:val="48"/>
        </w:rPr>
      </w:pPr>
    </w:p>
    <w:p w:rsidR="002E1194" w:rsidRDefault="002E1194" w:rsidP="007C7586">
      <w:pPr>
        <w:pStyle w:val="BodyText"/>
        <w:jc w:val="center"/>
        <w:rPr>
          <w:rFonts w:cs="Arial"/>
          <w:b/>
          <w:sz w:val="48"/>
          <w:szCs w:val="48"/>
        </w:rPr>
      </w:pPr>
      <w:r>
        <w:rPr>
          <w:rFonts w:cs="Arial"/>
          <w:b/>
          <w:sz w:val="48"/>
          <w:szCs w:val="48"/>
        </w:rPr>
        <w:t>Annual Report</w:t>
      </w:r>
    </w:p>
    <w:p w:rsidR="00AD0FD4" w:rsidRDefault="00AD0FD4" w:rsidP="007C7586">
      <w:pPr>
        <w:pStyle w:val="BodyText"/>
        <w:jc w:val="center"/>
        <w:rPr>
          <w:rFonts w:cs="Arial"/>
          <w:b/>
          <w:sz w:val="48"/>
          <w:szCs w:val="48"/>
        </w:rPr>
      </w:pPr>
    </w:p>
    <w:p w:rsidR="002E1194" w:rsidRDefault="002E1194">
      <w:pPr>
        <w:pStyle w:val="BodyText"/>
        <w:jc w:val="center"/>
        <w:rPr>
          <w:rFonts w:cs="Arial"/>
          <w:b/>
          <w:sz w:val="48"/>
          <w:szCs w:val="48"/>
        </w:rPr>
      </w:pPr>
      <w:r>
        <w:rPr>
          <w:rFonts w:cs="Arial"/>
          <w:b/>
          <w:sz w:val="48"/>
          <w:szCs w:val="48"/>
        </w:rPr>
        <w:t>201</w:t>
      </w:r>
      <w:r w:rsidR="00104C97">
        <w:rPr>
          <w:rFonts w:cs="Arial"/>
          <w:b/>
          <w:sz w:val="48"/>
          <w:szCs w:val="48"/>
        </w:rPr>
        <w:t>7</w:t>
      </w:r>
      <w:r w:rsidR="00017FE3">
        <w:rPr>
          <w:rFonts w:cs="Arial"/>
          <w:b/>
          <w:sz w:val="48"/>
          <w:szCs w:val="48"/>
        </w:rPr>
        <w:t>/1</w:t>
      </w:r>
      <w:r w:rsidR="00104C97">
        <w:rPr>
          <w:rFonts w:cs="Arial"/>
          <w:b/>
          <w:sz w:val="48"/>
          <w:szCs w:val="48"/>
        </w:rPr>
        <w:t>8</w:t>
      </w:r>
    </w:p>
    <w:p w:rsidR="002E1194" w:rsidRDefault="002E1194">
      <w:pPr>
        <w:jc w:val="both"/>
        <w:rPr>
          <w:szCs w:val="24"/>
        </w:rPr>
      </w:pPr>
    </w:p>
    <w:p w:rsidR="002E1194" w:rsidRDefault="008B58FC">
      <w:pPr>
        <w:pStyle w:val="nhsbase"/>
        <w:rPr>
          <w:b/>
        </w:rPr>
      </w:pPr>
      <w:r>
        <w:rPr>
          <w:noProof/>
          <w:szCs w:val="24"/>
        </w:rPr>
        <w:drawing>
          <wp:anchor distT="0" distB="0" distL="114300" distR="114300" simplePos="0" relativeHeight="251657728" behindDoc="0" locked="0" layoutInCell="1" allowOverlap="1">
            <wp:simplePos x="0" y="0"/>
            <wp:positionH relativeFrom="margin">
              <wp:posOffset>4416425</wp:posOffset>
            </wp:positionH>
            <wp:positionV relativeFrom="margin">
              <wp:posOffset>-503555</wp:posOffset>
            </wp:positionV>
            <wp:extent cx="2095500" cy="1536065"/>
            <wp:effectExtent l="19050" t="0" r="0" b="0"/>
            <wp:wrapSquare wrapText="bothSides"/>
            <wp:docPr id="2" name="Picture 2" descr="http://nhsscotlandevent.com/sites/default/files/Exhibitor-39-golden-jubilee-national-hospital%26-n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hsscotlandevent.com/sites/default/files/Exhibitor-39-golden-jubilee-national-hospital%26-nhs.jpg"/>
                    <pic:cNvPicPr>
                      <a:picLocks noChangeAspect="1" noChangeArrowheads="1"/>
                    </pic:cNvPicPr>
                  </pic:nvPicPr>
                  <pic:blipFill>
                    <a:blip r:embed="rId7" r:link="rId8" cstate="print"/>
                    <a:srcRect b="48787"/>
                    <a:stretch>
                      <a:fillRect/>
                    </a:stretch>
                  </pic:blipFill>
                  <pic:spPr bwMode="auto">
                    <a:xfrm>
                      <a:off x="0" y="0"/>
                      <a:ext cx="2095500" cy="1536065"/>
                    </a:xfrm>
                    <a:prstGeom prst="rect">
                      <a:avLst/>
                    </a:prstGeom>
                    <a:noFill/>
                    <a:ln w="9525">
                      <a:noFill/>
                      <a:miter lim="800000"/>
                      <a:headEnd/>
                      <a:tailEnd/>
                    </a:ln>
                  </pic:spPr>
                </pic:pic>
              </a:graphicData>
            </a:graphic>
          </wp:anchor>
        </w:drawing>
      </w:r>
    </w:p>
    <w:p w:rsidR="00874C7B" w:rsidRDefault="00207244">
      <w:pPr>
        <w:pStyle w:val="nhsbase"/>
      </w:pPr>
      <w:r>
        <w:rPr>
          <w:b/>
        </w:rPr>
        <w:br w:type="page"/>
      </w:r>
      <w:r w:rsidR="00874C7B">
        <w:rPr>
          <w:b/>
        </w:rPr>
        <w:lastRenderedPageBreak/>
        <w:t xml:space="preserve">1 </w:t>
      </w:r>
      <w:r w:rsidR="00874C7B" w:rsidRPr="002B1AD7">
        <w:rPr>
          <w:b/>
        </w:rPr>
        <w:t>Background</w:t>
      </w:r>
      <w:r w:rsidR="00874C7B" w:rsidRPr="00874C7B">
        <w:t xml:space="preserve"> </w:t>
      </w:r>
    </w:p>
    <w:p w:rsidR="00874C7B" w:rsidRPr="0059463A" w:rsidRDefault="00874C7B">
      <w:pPr>
        <w:pStyle w:val="nhsbase"/>
        <w:rPr>
          <w:sz w:val="22"/>
          <w:szCs w:val="22"/>
        </w:rPr>
      </w:pPr>
    </w:p>
    <w:p w:rsidR="00874C7B" w:rsidRPr="0059463A" w:rsidRDefault="00874C7B" w:rsidP="00874C7B">
      <w:pPr>
        <w:pStyle w:val="nhsbase"/>
        <w:rPr>
          <w:sz w:val="22"/>
          <w:szCs w:val="22"/>
        </w:rPr>
      </w:pPr>
      <w:r w:rsidRPr="0059463A">
        <w:rPr>
          <w:sz w:val="22"/>
          <w:szCs w:val="22"/>
        </w:rPr>
        <w:t>Members of the Clinical Governance Committee are appointed by the Board, to whom it is accountable.  Members of the Clinical Governance Committee during 201</w:t>
      </w:r>
      <w:r w:rsidR="00594241" w:rsidRPr="0059463A">
        <w:rPr>
          <w:sz w:val="22"/>
          <w:szCs w:val="22"/>
        </w:rPr>
        <w:t>6</w:t>
      </w:r>
      <w:r w:rsidRPr="0059463A">
        <w:rPr>
          <w:sz w:val="22"/>
          <w:szCs w:val="22"/>
        </w:rPr>
        <w:t>/1</w:t>
      </w:r>
      <w:r w:rsidR="00594241" w:rsidRPr="0059463A">
        <w:rPr>
          <w:sz w:val="22"/>
          <w:szCs w:val="22"/>
        </w:rPr>
        <w:t>7</w:t>
      </w:r>
      <w:r w:rsidRPr="0059463A">
        <w:rPr>
          <w:sz w:val="22"/>
          <w:szCs w:val="22"/>
        </w:rPr>
        <w:t xml:space="preserve"> were:</w:t>
      </w:r>
    </w:p>
    <w:p w:rsidR="00874C7B" w:rsidRPr="0059463A" w:rsidRDefault="00874C7B" w:rsidP="00F50F62">
      <w:pPr>
        <w:pStyle w:val="nhsbase"/>
        <w:numPr>
          <w:ilvl w:val="0"/>
          <w:numId w:val="20"/>
        </w:numPr>
        <w:rPr>
          <w:sz w:val="22"/>
          <w:szCs w:val="22"/>
        </w:rPr>
      </w:pPr>
      <w:r w:rsidRPr="0059463A">
        <w:rPr>
          <w:sz w:val="22"/>
          <w:szCs w:val="22"/>
        </w:rPr>
        <w:t xml:space="preserve">Mark MacGregor </w:t>
      </w:r>
      <w:r w:rsidR="00347931" w:rsidRPr="0059463A">
        <w:rPr>
          <w:sz w:val="22"/>
          <w:szCs w:val="22"/>
        </w:rPr>
        <w:t>(Chair)</w:t>
      </w:r>
    </w:p>
    <w:p w:rsidR="00874C7B" w:rsidRPr="0059463A" w:rsidRDefault="00874C7B" w:rsidP="00F50F62">
      <w:pPr>
        <w:pStyle w:val="nhsbase"/>
        <w:numPr>
          <w:ilvl w:val="0"/>
          <w:numId w:val="20"/>
        </w:numPr>
        <w:rPr>
          <w:sz w:val="22"/>
          <w:szCs w:val="22"/>
        </w:rPr>
      </w:pPr>
      <w:r w:rsidRPr="0059463A">
        <w:rPr>
          <w:sz w:val="22"/>
          <w:szCs w:val="22"/>
        </w:rPr>
        <w:t>Maire Whitehead</w:t>
      </w:r>
    </w:p>
    <w:p w:rsidR="00874C7B" w:rsidRPr="0059463A" w:rsidRDefault="00874C7B" w:rsidP="00F50F62">
      <w:pPr>
        <w:pStyle w:val="nhsbase"/>
        <w:numPr>
          <w:ilvl w:val="0"/>
          <w:numId w:val="20"/>
        </w:numPr>
        <w:rPr>
          <w:sz w:val="22"/>
          <w:szCs w:val="22"/>
        </w:rPr>
      </w:pPr>
      <w:r w:rsidRPr="0059463A">
        <w:rPr>
          <w:sz w:val="22"/>
          <w:szCs w:val="22"/>
        </w:rPr>
        <w:t xml:space="preserve">Philip Cox </w:t>
      </w:r>
    </w:p>
    <w:p w:rsidR="00347931" w:rsidRPr="0059463A" w:rsidRDefault="00347931" w:rsidP="00F50F62">
      <w:pPr>
        <w:pStyle w:val="nhsbase"/>
        <w:numPr>
          <w:ilvl w:val="0"/>
          <w:numId w:val="20"/>
        </w:numPr>
        <w:rPr>
          <w:sz w:val="22"/>
          <w:szCs w:val="22"/>
        </w:rPr>
      </w:pPr>
      <w:r w:rsidRPr="0059463A">
        <w:rPr>
          <w:sz w:val="22"/>
          <w:szCs w:val="22"/>
        </w:rPr>
        <w:t>Karen Kelly</w:t>
      </w:r>
    </w:p>
    <w:p w:rsidR="00874C7B" w:rsidRPr="0059463A" w:rsidRDefault="00874C7B" w:rsidP="00874C7B">
      <w:pPr>
        <w:pStyle w:val="nhsbase"/>
        <w:rPr>
          <w:sz w:val="22"/>
          <w:szCs w:val="22"/>
        </w:rPr>
      </w:pPr>
    </w:p>
    <w:p w:rsidR="00874C7B" w:rsidRDefault="00347931" w:rsidP="00874C7B">
      <w:pPr>
        <w:pStyle w:val="nhsbase"/>
        <w:rPr>
          <w:sz w:val="22"/>
          <w:szCs w:val="22"/>
        </w:rPr>
      </w:pPr>
      <w:r w:rsidRPr="0059463A">
        <w:rPr>
          <w:sz w:val="22"/>
          <w:szCs w:val="22"/>
        </w:rPr>
        <w:t xml:space="preserve">Within this year membership was reviewed to take account of changes in the Non </w:t>
      </w:r>
      <w:r w:rsidR="00104C97" w:rsidRPr="0059463A">
        <w:rPr>
          <w:sz w:val="22"/>
          <w:szCs w:val="22"/>
        </w:rPr>
        <w:t>E</w:t>
      </w:r>
      <w:r w:rsidRPr="0059463A">
        <w:rPr>
          <w:sz w:val="22"/>
          <w:szCs w:val="22"/>
        </w:rPr>
        <w:t>xecutive Directors</w:t>
      </w:r>
      <w:r w:rsidR="00104C97" w:rsidRPr="0059463A">
        <w:rPr>
          <w:sz w:val="22"/>
          <w:szCs w:val="22"/>
        </w:rPr>
        <w:t xml:space="preserve"> with Maire Whitehead stepping down and Karen Kelly joining as a member from October 2017 onwards. </w:t>
      </w:r>
      <w:r w:rsidR="00874C7B" w:rsidRPr="0059463A">
        <w:rPr>
          <w:sz w:val="22"/>
          <w:szCs w:val="22"/>
        </w:rPr>
        <w:t>Attendance at the meetings was recorded as follows:</w:t>
      </w:r>
    </w:p>
    <w:p w:rsidR="0059463A" w:rsidRPr="0059463A" w:rsidRDefault="0059463A" w:rsidP="00874C7B">
      <w:pPr>
        <w:pStyle w:val="nhsbase"/>
        <w:rPr>
          <w:sz w:val="22"/>
          <w:szCs w:val="22"/>
        </w:rPr>
      </w:pPr>
    </w:p>
    <w:p w:rsidR="00874C7B" w:rsidRPr="003302D9" w:rsidRDefault="00874C7B" w:rsidP="00874C7B">
      <w:pPr>
        <w:pStyle w:val="nhsbase"/>
        <w:jc w:val="center"/>
        <w:rPr>
          <w:b/>
        </w:rPr>
      </w:pPr>
      <w:r w:rsidRPr="003302D9">
        <w:rPr>
          <w:b/>
        </w:rPr>
        <w:t>Table 1 – Attendance</w:t>
      </w:r>
      <w:r w:rsidR="00594241" w:rsidRPr="003302D9">
        <w:rPr>
          <w:b/>
        </w:rPr>
        <w:t xml:space="preserve"> </w:t>
      </w:r>
    </w:p>
    <w:tbl>
      <w:tblPr>
        <w:tblW w:w="10430" w:type="dxa"/>
        <w:jc w:val="center"/>
        <w:tblInd w:w="-2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6"/>
        <w:gridCol w:w="1271"/>
        <w:gridCol w:w="1418"/>
        <w:gridCol w:w="1418"/>
        <w:gridCol w:w="1417"/>
      </w:tblGrid>
      <w:tr w:rsidR="003302D9" w:rsidRPr="003302D9" w:rsidTr="00310874">
        <w:trPr>
          <w:trHeight w:val="534"/>
          <w:jc w:val="center"/>
        </w:trPr>
        <w:tc>
          <w:tcPr>
            <w:tcW w:w="4906" w:type="dxa"/>
            <w:shd w:val="clear" w:color="auto" w:fill="D9D9D9"/>
            <w:vAlign w:val="center"/>
          </w:tcPr>
          <w:p w:rsidR="003302D9" w:rsidRPr="003302D9" w:rsidRDefault="003302D9" w:rsidP="009E4FC6">
            <w:pPr>
              <w:pStyle w:val="nhsbase"/>
              <w:jc w:val="center"/>
              <w:rPr>
                <w:rFonts w:ascii="Arial Narrow" w:hAnsi="Arial Narrow"/>
                <w:b/>
                <w:sz w:val="22"/>
                <w:szCs w:val="22"/>
              </w:rPr>
            </w:pPr>
            <w:r w:rsidRPr="003302D9">
              <w:rPr>
                <w:rFonts w:ascii="Arial Narrow" w:hAnsi="Arial Narrow"/>
                <w:b/>
                <w:sz w:val="22"/>
                <w:szCs w:val="22"/>
              </w:rPr>
              <w:t>List members</w:t>
            </w:r>
          </w:p>
        </w:tc>
        <w:tc>
          <w:tcPr>
            <w:tcW w:w="1271" w:type="dxa"/>
            <w:shd w:val="clear" w:color="auto" w:fill="D9D9D9"/>
            <w:vAlign w:val="center"/>
          </w:tcPr>
          <w:p w:rsidR="003302D9" w:rsidRPr="003302D9" w:rsidRDefault="00207244" w:rsidP="001A4137">
            <w:pPr>
              <w:pStyle w:val="nhsbase"/>
              <w:jc w:val="center"/>
              <w:rPr>
                <w:rFonts w:ascii="Arial Narrow" w:hAnsi="Arial Narrow"/>
                <w:sz w:val="22"/>
                <w:szCs w:val="22"/>
              </w:rPr>
            </w:pPr>
            <w:r>
              <w:rPr>
                <w:rFonts w:ascii="Arial Narrow" w:hAnsi="Arial Narrow"/>
                <w:sz w:val="22"/>
                <w:szCs w:val="22"/>
              </w:rPr>
              <w:t xml:space="preserve">April 2017 </w:t>
            </w:r>
          </w:p>
        </w:tc>
        <w:tc>
          <w:tcPr>
            <w:tcW w:w="1418" w:type="dxa"/>
            <w:shd w:val="clear" w:color="auto" w:fill="D9D9D9"/>
            <w:vAlign w:val="center"/>
          </w:tcPr>
          <w:p w:rsidR="003302D9" w:rsidRPr="003302D9" w:rsidRDefault="00207244" w:rsidP="009E4FC6">
            <w:pPr>
              <w:pStyle w:val="nhsbase"/>
              <w:jc w:val="center"/>
              <w:rPr>
                <w:rFonts w:ascii="Arial Narrow" w:hAnsi="Arial Narrow"/>
                <w:sz w:val="22"/>
                <w:szCs w:val="22"/>
              </w:rPr>
            </w:pPr>
            <w:r>
              <w:rPr>
                <w:rFonts w:ascii="Arial Narrow" w:hAnsi="Arial Narrow"/>
                <w:sz w:val="22"/>
                <w:szCs w:val="22"/>
              </w:rPr>
              <w:t>July 2017</w:t>
            </w:r>
          </w:p>
        </w:tc>
        <w:tc>
          <w:tcPr>
            <w:tcW w:w="1418" w:type="dxa"/>
            <w:shd w:val="clear" w:color="auto" w:fill="D9D9D9"/>
            <w:vAlign w:val="center"/>
          </w:tcPr>
          <w:p w:rsidR="003302D9" w:rsidRPr="003302D9" w:rsidRDefault="00310874" w:rsidP="009E4FC6">
            <w:pPr>
              <w:pStyle w:val="nhsbase"/>
              <w:jc w:val="center"/>
              <w:rPr>
                <w:rFonts w:ascii="Arial Narrow" w:hAnsi="Arial Narrow"/>
                <w:sz w:val="22"/>
                <w:szCs w:val="22"/>
              </w:rPr>
            </w:pPr>
            <w:r>
              <w:rPr>
                <w:rFonts w:ascii="Arial Narrow" w:hAnsi="Arial Narrow"/>
                <w:sz w:val="22"/>
                <w:szCs w:val="22"/>
              </w:rPr>
              <w:t xml:space="preserve">Oct 2017 </w:t>
            </w:r>
          </w:p>
        </w:tc>
        <w:tc>
          <w:tcPr>
            <w:tcW w:w="1417" w:type="dxa"/>
            <w:shd w:val="clear" w:color="auto" w:fill="D9D9D9"/>
            <w:vAlign w:val="center"/>
          </w:tcPr>
          <w:p w:rsidR="003302D9" w:rsidRPr="003302D9" w:rsidRDefault="00310874" w:rsidP="008B58FC">
            <w:pPr>
              <w:pStyle w:val="nhsbase"/>
              <w:jc w:val="center"/>
              <w:rPr>
                <w:rFonts w:ascii="Arial Narrow" w:hAnsi="Arial Narrow"/>
                <w:sz w:val="22"/>
                <w:szCs w:val="22"/>
              </w:rPr>
            </w:pPr>
            <w:r>
              <w:rPr>
                <w:rFonts w:ascii="Arial Narrow" w:hAnsi="Arial Narrow"/>
                <w:sz w:val="22"/>
                <w:szCs w:val="22"/>
              </w:rPr>
              <w:t>Jan 201</w:t>
            </w:r>
            <w:r w:rsidR="008B58FC">
              <w:rPr>
                <w:rFonts w:ascii="Arial Narrow" w:hAnsi="Arial Narrow"/>
                <w:sz w:val="22"/>
                <w:szCs w:val="22"/>
              </w:rPr>
              <w:t>8</w:t>
            </w:r>
            <w:r>
              <w:rPr>
                <w:rFonts w:ascii="Arial Narrow" w:hAnsi="Arial Narrow"/>
                <w:sz w:val="22"/>
                <w:szCs w:val="22"/>
              </w:rPr>
              <w:t xml:space="preserve"> </w:t>
            </w:r>
          </w:p>
        </w:tc>
      </w:tr>
      <w:tr w:rsidR="00DB1764" w:rsidRPr="003302D9" w:rsidTr="003C46D4">
        <w:trPr>
          <w:trHeight w:val="534"/>
          <w:jc w:val="center"/>
        </w:trPr>
        <w:tc>
          <w:tcPr>
            <w:tcW w:w="4906" w:type="dxa"/>
            <w:vAlign w:val="center"/>
          </w:tcPr>
          <w:p w:rsidR="00DB1764" w:rsidRPr="009E4FC6" w:rsidRDefault="00DB1764" w:rsidP="009E4FC6">
            <w:pPr>
              <w:pStyle w:val="nhsbase"/>
              <w:jc w:val="center"/>
              <w:rPr>
                <w:rFonts w:ascii="Arial Narrow" w:hAnsi="Arial Narrow"/>
                <w:sz w:val="22"/>
                <w:szCs w:val="22"/>
              </w:rPr>
            </w:pPr>
            <w:r w:rsidRPr="009E4FC6">
              <w:rPr>
                <w:rFonts w:ascii="Arial Narrow" w:hAnsi="Arial Narrow"/>
                <w:sz w:val="22"/>
                <w:szCs w:val="22"/>
              </w:rPr>
              <w:t>Mark MacGregor, Non-Executive Director, Chair</w:t>
            </w:r>
          </w:p>
        </w:tc>
        <w:tc>
          <w:tcPr>
            <w:tcW w:w="1271" w:type="dxa"/>
            <w:vAlign w:val="center"/>
          </w:tcPr>
          <w:p w:rsidR="00DB1764"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tcPr>
          <w:p w:rsidR="00DB1764" w:rsidRDefault="00DB1764" w:rsidP="00DB1764">
            <w:pPr>
              <w:jc w:val="center"/>
            </w:pPr>
            <w:r w:rsidRPr="00ED65E1">
              <w:rPr>
                <w:rFonts w:cs="Arial"/>
                <w:szCs w:val="24"/>
              </w:rPr>
              <w:sym w:font="Marlett" w:char="F061"/>
            </w:r>
          </w:p>
        </w:tc>
        <w:tc>
          <w:tcPr>
            <w:tcW w:w="1418" w:type="dxa"/>
          </w:tcPr>
          <w:p w:rsidR="00DB1764" w:rsidRDefault="00DB1764" w:rsidP="00DB1764">
            <w:pPr>
              <w:jc w:val="center"/>
            </w:pPr>
            <w:r w:rsidRPr="0042553E">
              <w:rPr>
                <w:rFonts w:cs="Arial"/>
                <w:szCs w:val="24"/>
              </w:rPr>
              <w:sym w:font="Marlett" w:char="F061"/>
            </w:r>
          </w:p>
        </w:tc>
        <w:tc>
          <w:tcPr>
            <w:tcW w:w="1417" w:type="dxa"/>
          </w:tcPr>
          <w:p w:rsidR="00DB1764" w:rsidRDefault="00DB1764" w:rsidP="00DB1764">
            <w:pPr>
              <w:jc w:val="center"/>
            </w:pPr>
            <w:r w:rsidRPr="0042553E">
              <w:rPr>
                <w:rFonts w:cs="Arial"/>
                <w:szCs w:val="24"/>
              </w:rPr>
              <w:sym w:font="Marlett" w:char="F061"/>
            </w:r>
          </w:p>
        </w:tc>
      </w:tr>
      <w:tr w:rsidR="00DB1764" w:rsidRPr="003302D9" w:rsidTr="00E17226">
        <w:trPr>
          <w:trHeight w:val="534"/>
          <w:jc w:val="center"/>
        </w:trPr>
        <w:tc>
          <w:tcPr>
            <w:tcW w:w="4906" w:type="dxa"/>
            <w:vAlign w:val="center"/>
          </w:tcPr>
          <w:p w:rsidR="00DB1764" w:rsidRDefault="00DB1764" w:rsidP="009E4FC6">
            <w:pPr>
              <w:pStyle w:val="nhsbase"/>
              <w:jc w:val="center"/>
              <w:rPr>
                <w:rFonts w:ascii="Arial Narrow" w:hAnsi="Arial Narrow"/>
                <w:sz w:val="22"/>
                <w:szCs w:val="22"/>
              </w:rPr>
            </w:pPr>
            <w:r w:rsidRPr="009E4FC6">
              <w:rPr>
                <w:rFonts w:ascii="Arial Narrow" w:hAnsi="Arial Narrow"/>
                <w:sz w:val="22"/>
                <w:szCs w:val="22"/>
              </w:rPr>
              <w:t>Maire Whitehead, Non-Executive Director</w:t>
            </w:r>
          </w:p>
          <w:p w:rsidR="00DB1764" w:rsidRPr="009E4FC6" w:rsidRDefault="00DB1764" w:rsidP="009E4FC6">
            <w:pPr>
              <w:pStyle w:val="nhsbase"/>
              <w:jc w:val="center"/>
              <w:rPr>
                <w:rFonts w:ascii="Arial Narrow" w:hAnsi="Arial Narrow"/>
                <w:sz w:val="22"/>
                <w:szCs w:val="22"/>
              </w:rPr>
            </w:pPr>
            <w:r>
              <w:rPr>
                <w:rFonts w:ascii="Arial Narrow" w:hAnsi="Arial Narrow"/>
                <w:sz w:val="22"/>
                <w:szCs w:val="22"/>
              </w:rPr>
              <w:t xml:space="preserve">(Until July 2017) </w:t>
            </w:r>
          </w:p>
        </w:tc>
        <w:tc>
          <w:tcPr>
            <w:tcW w:w="1271" w:type="dxa"/>
            <w:vAlign w:val="center"/>
          </w:tcPr>
          <w:p w:rsidR="00DB1764" w:rsidRPr="003302D9" w:rsidRDefault="00DB1764" w:rsidP="00DB1764">
            <w:pPr>
              <w:pStyle w:val="nhsbase"/>
              <w:jc w:val="center"/>
              <w:rPr>
                <w:rFonts w:ascii="Arial Narrow" w:hAnsi="Arial Narrow"/>
                <w:sz w:val="22"/>
                <w:szCs w:val="22"/>
              </w:rPr>
            </w:pPr>
            <w:r w:rsidRPr="00AC5F73">
              <w:rPr>
                <w:rFonts w:cs="Arial"/>
                <w:szCs w:val="24"/>
              </w:rPr>
              <w:sym w:font="Marlett" w:char="F061"/>
            </w:r>
          </w:p>
        </w:tc>
        <w:tc>
          <w:tcPr>
            <w:tcW w:w="1418" w:type="dxa"/>
          </w:tcPr>
          <w:p w:rsidR="00DB1764" w:rsidRDefault="00DB1764" w:rsidP="00DB1764">
            <w:pPr>
              <w:jc w:val="center"/>
            </w:pPr>
            <w:r w:rsidRPr="00ED65E1">
              <w:rPr>
                <w:rFonts w:cs="Arial"/>
                <w:szCs w:val="24"/>
              </w:rPr>
              <w:sym w:font="Marlett" w:char="F061"/>
            </w:r>
          </w:p>
        </w:tc>
        <w:tc>
          <w:tcPr>
            <w:tcW w:w="1418" w:type="dxa"/>
            <w:shd w:val="clear" w:color="auto" w:fill="808080"/>
            <w:vAlign w:val="center"/>
          </w:tcPr>
          <w:p w:rsidR="00DB1764" w:rsidRPr="003302D9" w:rsidRDefault="00DB1764" w:rsidP="00DB1764">
            <w:pPr>
              <w:pStyle w:val="nhsbase"/>
              <w:jc w:val="center"/>
              <w:rPr>
                <w:rFonts w:ascii="Arial Narrow" w:hAnsi="Arial Narrow"/>
                <w:sz w:val="22"/>
                <w:szCs w:val="22"/>
              </w:rPr>
            </w:pPr>
          </w:p>
        </w:tc>
        <w:tc>
          <w:tcPr>
            <w:tcW w:w="1417" w:type="dxa"/>
            <w:shd w:val="clear" w:color="auto" w:fill="808080"/>
            <w:vAlign w:val="center"/>
          </w:tcPr>
          <w:p w:rsidR="00DB1764" w:rsidRPr="003302D9" w:rsidRDefault="00DB1764" w:rsidP="00DB1764">
            <w:pPr>
              <w:pStyle w:val="nhsbase"/>
              <w:jc w:val="center"/>
              <w:rPr>
                <w:rFonts w:ascii="Arial Narrow" w:hAnsi="Arial Narrow"/>
                <w:sz w:val="22"/>
                <w:szCs w:val="22"/>
              </w:rPr>
            </w:pPr>
          </w:p>
        </w:tc>
      </w:tr>
      <w:tr w:rsidR="00DB1764" w:rsidRPr="003302D9" w:rsidTr="008951FA">
        <w:trPr>
          <w:trHeight w:val="534"/>
          <w:jc w:val="center"/>
        </w:trPr>
        <w:tc>
          <w:tcPr>
            <w:tcW w:w="4906" w:type="dxa"/>
            <w:vAlign w:val="center"/>
          </w:tcPr>
          <w:p w:rsidR="00DB1764" w:rsidRPr="009E4FC6" w:rsidRDefault="00DB1764" w:rsidP="009E4FC6">
            <w:pPr>
              <w:pStyle w:val="nhsbase"/>
              <w:jc w:val="center"/>
              <w:rPr>
                <w:rFonts w:ascii="Arial Narrow" w:hAnsi="Arial Narrow"/>
                <w:sz w:val="22"/>
                <w:szCs w:val="22"/>
              </w:rPr>
            </w:pPr>
            <w:r w:rsidRPr="009E4FC6">
              <w:rPr>
                <w:rFonts w:ascii="Arial Narrow" w:hAnsi="Arial Narrow"/>
                <w:sz w:val="22"/>
                <w:szCs w:val="22"/>
              </w:rPr>
              <w:t>Philip Cox, Non-Executive Director</w:t>
            </w:r>
          </w:p>
        </w:tc>
        <w:tc>
          <w:tcPr>
            <w:tcW w:w="1271" w:type="dxa"/>
            <w:vAlign w:val="center"/>
          </w:tcPr>
          <w:p w:rsidR="00DB1764" w:rsidRPr="003302D9" w:rsidRDefault="00DB1764" w:rsidP="00DB1764">
            <w:pPr>
              <w:pStyle w:val="nhsbase"/>
              <w:jc w:val="center"/>
              <w:rPr>
                <w:rFonts w:ascii="Arial Narrow" w:hAnsi="Arial Narrow"/>
                <w:sz w:val="22"/>
                <w:szCs w:val="22"/>
              </w:rPr>
            </w:pPr>
            <w:r>
              <w:rPr>
                <w:rFonts w:ascii="Arial Narrow" w:hAnsi="Arial Narrow"/>
                <w:sz w:val="22"/>
                <w:szCs w:val="22"/>
              </w:rPr>
              <w:t xml:space="preserve">Apologies </w:t>
            </w:r>
          </w:p>
        </w:tc>
        <w:tc>
          <w:tcPr>
            <w:tcW w:w="1418" w:type="dxa"/>
          </w:tcPr>
          <w:p w:rsidR="00DB1764" w:rsidRDefault="00DB1764" w:rsidP="00DB1764">
            <w:pPr>
              <w:jc w:val="center"/>
            </w:pPr>
            <w:r w:rsidRPr="00ED65E1">
              <w:rPr>
                <w:rFonts w:cs="Arial"/>
                <w:szCs w:val="24"/>
              </w:rPr>
              <w:sym w:font="Marlett" w:char="F061"/>
            </w:r>
          </w:p>
        </w:tc>
        <w:tc>
          <w:tcPr>
            <w:tcW w:w="1418" w:type="dxa"/>
          </w:tcPr>
          <w:p w:rsidR="00DB1764" w:rsidRDefault="00DB1764" w:rsidP="00DB1764">
            <w:pPr>
              <w:jc w:val="center"/>
            </w:pPr>
            <w:r w:rsidRPr="00975923">
              <w:rPr>
                <w:rFonts w:cs="Arial"/>
                <w:szCs w:val="24"/>
              </w:rPr>
              <w:sym w:font="Marlett" w:char="F061"/>
            </w:r>
          </w:p>
        </w:tc>
        <w:tc>
          <w:tcPr>
            <w:tcW w:w="1417" w:type="dxa"/>
            <w:vAlign w:val="center"/>
          </w:tcPr>
          <w:p w:rsidR="00DB1764"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r>
      <w:tr w:rsidR="00DB1764" w:rsidRPr="003302D9" w:rsidTr="001B7D0A">
        <w:trPr>
          <w:trHeight w:val="534"/>
          <w:jc w:val="center"/>
        </w:trPr>
        <w:tc>
          <w:tcPr>
            <w:tcW w:w="4906" w:type="dxa"/>
            <w:vAlign w:val="center"/>
          </w:tcPr>
          <w:p w:rsidR="00DB1764" w:rsidRPr="009E4FC6" w:rsidRDefault="00DB1764" w:rsidP="009E4FC6">
            <w:pPr>
              <w:pStyle w:val="nhsbase"/>
              <w:jc w:val="center"/>
              <w:rPr>
                <w:rFonts w:ascii="Arial Narrow" w:hAnsi="Arial Narrow"/>
                <w:sz w:val="22"/>
                <w:szCs w:val="22"/>
              </w:rPr>
            </w:pPr>
            <w:r>
              <w:rPr>
                <w:rFonts w:ascii="Arial Narrow" w:hAnsi="Arial Narrow"/>
                <w:sz w:val="22"/>
                <w:szCs w:val="22"/>
              </w:rPr>
              <w:t>Jane Christie-Flight, Employee Director</w:t>
            </w:r>
          </w:p>
        </w:tc>
        <w:tc>
          <w:tcPr>
            <w:tcW w:w="1271" w:type="dxa"/>
            <w:shd w:val="clear" w:color="auto" w:fill="auto"/>
            <w:vAlign w:val="center"/>
          </w:tcPr>
          <w:p w:rsidR="00DB1764" w:rsidRPr="003302D9" w:rsidRDefault="00DB1764" w:rsidP="00DB1764">
            <w:pPr>
              <w:pStyle w:val="nhsbase"/>
              <w:jc w:val="center"/>
              <w:rPr>
                <w:rFonts w:ascii="Arial Narrow" w:hAnsi="Arial Narrow"/>
                <w:sz w:val="22"/>
                <w:szCs w:val="22"/>
              </w:rPr>
            </w:pPr>
            <w:r w:rsidRPr="00AC5F73">
              <w:rPr>
                <w:rFonts w:cs="Arial"/>
                <w:szCs w:val="24"/>
              </w:rPr>
              <w:sym w:font="Marlett" w:char="F061"/>
            </w:r>
          </w:p>
        </w:tc>
        <w:tc>
          <w:tcPr>
            <w:tcW w:w="1418" w:type="dxa"/>
          </w:tcPr>
          <w:p w:rsidR="00DB1764" w:rsidRDefault="00DB1764" w:rsidP="00DB1764">
            <w:pPr>
              <w:jc w:val="center"/>
            </w:pPr>
            <w:r w:rsidRPr="00ED65E1">
              <w:rPr>
                <w:rFonts w:cs="Arial"/>
                <w:szCs w:val="24"/>
              </w:rPr>
              <w:sym w:font="Marlett" w:char="F061"/>
            </w:r>
          </w:p>
        </w:tc>
        <w:tc>
          <w:tcPr>
            <w:tcW w:w="1418" w:type="dxa"/>
            <w:shd w:val="clear" w:color="auto" w:fill="auto"/>
          </w:tcPr>
          <w:p w:rsidR="00DB1764" w:rsidRDefault="00DB1764" w:rsidP="00DB1764">
            <w:pPr>
              <w:jc w:val="center"/>
            </w:pPr>
            <w:r w:rsidRPr="00975923">
              <w:rPr>
                <w:rFonts w:cs="Arial"/>
                <w:szCs w:val="24"/>
              </w:rPr>
              <w:sym w:font="Marlett" w:char="F061"/>
            </w:r>
          </w:p>
        </w:tc>
        <w:tc>
          <w:tcPr>
            <w:tcW w:w="1417" w:type="dxa"/>
            <w:shd w:val="clear" w:color="auto" w:fill="auto"/>
          </w:tcPr>
          <w:p w:rsidR="00DB1764" w:rsidRDefault="00DB1764" w:rsidP="00DB1764">
            <w:pPr>
              <w:jc w:val="center"/>
            </w:pPr>
            <w:r w:rsidRPr="000A02EB">
              <w:rPr>
                <w:rFonts w:cs="Arial"/>
                <w:szCs w:val="24"/>
              </w:rPr>
              <w:sym w:font="Marlett" w:char="F061"/>
            </w:r>
          </w:p>
        </w:tc>
      </w:tr>
      <w:tr w:rsidR="00DB1764" w:rsidRPr="003302D9" w:rsidTr="001B7D0A">
        <w:trPr>
          <w:trHeight w:val="534"/>
          <w:jc w:val="center"/>
        </w:trPr>
        <w:tc>
          <w:tcPr>
            <w:tcW w:w="4906" w:type="dxa"/>
            <w:vAlign w:val="center"/>
          </w:tcPr>
          <w:p w:rsidR="00DB1764" w:rsidRDefault="00DB1764" w:rsidP="009E4FC6">
            <w:pPr>
              <w:pStyle w:val="nhsbase"/>
              <w:jc w:val="center"/>
              <w:rPr>
                <w:rFonts w:ascii="Arial Narrow" w:hAnsi="Arial Narrow"/>
                <w:sz w:val="22"/>
                <w:szCs w:val="22"/>
              </w:rPr>
            </w:pPr>
            <w:r>
              <w:rPr>
                <w:rFonts w:ascii="Arial Narrow" w:hAnsi="Arial Narrow"/>
                <w:sz w:val="22"/>
                <w:szCs w:val="22"/>
              </w:rPr>
              <w:t xml:space="preserve">Karen Kelly, </w:t>
            </w:r>
            <w:r w:rsidRPr="009E4FC6">
              <w:rPr>
                <w:rFonts w:ascii="Arial Narrow" w:hAnsi="Arial Narrow"/>
                <w:sz w:val="22"/>
                <w:szCs w:val="22"/>
              </w:rPr>
              <w:t>Non-Executive Director</w:t>
            </w:r>
          </w:p>
          <w:p w:rsidR="00DB1764" w:rsidRPr="009E4FC6" w:rsidRDefault="00DB1764" w:rsidP="009E4FC6">
            <w:pPr>
              <w:pStyle w:val="nhsbase"/>
              <w:jc w:val="center"/>
              <w:rPr>
                <w:rFonts w:ascii="Arial Narrow" w:hAnsi="Arial Narrow"/>
                <w:sz w:val="22"/>
                <w:szCs w:val="22"/>
              </w:rPr>
            </w:pPr>
            <w:r>
              <w:rPr>
                <w:rFonts w:ascii="Arial Narrow" w:hAnsi="Arial Narrow"/>
                <w:sz w:val="22"/>
                <w:szCs w:val="22"/>
              </w:rPr>
              <w:t>(commenced October 2017)</w:t>
            </w:r>
          </w:p>
        </w:tc>
        <w:tc>
          <w:tcPr>
            <w:tcW w:w="1271" w:type="dxa"/>
            <w:shd w:val="clear" w:color="auto" w:fill="808080"/>
            <w:vAlign w:val="center"/>
          </w:tcPr>
          <w:p w:rsidR="00DB1764" w:rsidRPr="003302D9" w:rsidRDefault="00DB1764" w:rsidP="00DB1764">
            <w:pPr>
              <w:pStyle w:val="nhsbase"/>
              <w:jc w:val="center"/>
              <w:rPr>
                <w:rFonts w:ascii="Arial Narrow" w:hAnsi="Arial Narrow" w:cs="Arial"/>
                <w:sz w:val="22"/>
                <w:szCs w:val="22"/>
              </w:rPr>
            </w:pPr>
          </w:p>
        </w:tc>
        <w:tc>
          <w:tcPr>
            <w:tcW w:w="1418" w:type="dxa"/>
            <w:shd w:val="clear" w:color="auto" w:fill="808080"/>
            <w:vAlign w:val="center"/>
          </w:tcPr>
          <w:p w:rsidR="00DB1764" w:rsidRPr="003302D9" w:rsidRDefault="00DB1764" w:rsidP="00DB1764">
            <w:pPr>
              <w:pStyle w:val="nhsbase"/>
              <w:jc w:val="center"/>
              <w:rPr>
                <w:rFonts w:ascii="Arial Narrow" w:hAnsi="Arial Narrow" w:cs="Arial"/>
                <w:sz w:val="22"/>
                <w:szCs w:val="22"/>
              </w:rPr>
            </w:pPr>
          </w:p>
        </w:tc>
        <w:tc>
          <w:tcPr>
            <w:tcW w:w="1418" w:type="dxa"/>
            <w:shd w:val="clear" w:color="auto" w:fill="auto"/>
          </w:tcPr>
          <w:p w:rsidR="00DB1764" w:rsidRDefault="00DB1764" w:rsidP="00DB1764">
            <w:pPr>
              <w:jc w:val="center"/>
            </w:pPr>
            <w:r w:rsidRPr="00975923">
              <w:rPr>
                <w:rFonts w:cs="Arial"/>
                <w:szCs w:val="24"/>
              </w:rPr>
              <w:sym w:font="Marlett" w:char="F061"/>
            </w:r>
          </w:p>
        </w:tc>
        <w:tc>
          <w:tcPr>
            <w:tcW w:w="1417" w:type="dxa"/>
            <w:shd w:val="clear" w:color="auto" w:fill="auto"/>
          </w:tcPr>
          <w:p w:rsidR="00DB1764" w:rsidRDefault="00DB1764" w:rsidP="00DB1764">
            <w:pPr>
              <w:jc w:val="center"/>
            </w:pPr>
            <w:r w:rsidRPr="000A02EB">
              <w:rPr>
                <w:rFonts w:cs="Arial"/>
                <w:szCs w:val="24"/>
              </w:rPr>
              <w:sym w:font="Marlett" w:char="F061"/>
            </w:r>
          </w:p>
        </w:tc>
      </w:tr>
      <w:tr w:rsidR="003302D9" w:rsidRPr="003302D9" w:rsidTr="00310874">
        <w:trPr>
          <w:trHeight w:val="273"/>
          <w:jc w:val="center"/>
        </w:trPr>
        <w:tc>
          <w:tcPr>
            <w:tcW w:w="10430" w:type="dxa"/>
            <w:gridSpan w:val="5"/>
            <w:shd w:val="clear" w:color="auto" w:fill="D9D9D9"/>
            <w:vAlign w:val="center"/>
          </w:tcPr>
          <w:p w:rsidR="003302D9" w:rsidRPr="009E4FC6" w:rsidRDefault="003302D9" w:rsidP="00104C97">
            <w:pPr>
              <w:pStyle w:val="nhsbase"/>
              <w:rPr>
                <w:rFonts w:ascii="Arial Narrow" w:hAnsi="Arial Narrow"/>
                <w:sz w:val="22"/>
                <w:szCs w:val="22"/>
              </w:rPr>
            </w:pPr>
            <w:r w:rsidRPr="009E4FC6">
              <w:rPr>
                <w:rFonts w:ascii="Arial Narrow" w:hAnsi="Arial Narrow"/>
                <w:b/>
                <w:sz w:val="22"/>
                <w:szCs w:val="22"/>
              </w:rPr>
              <w:t>In attendance</w:t>
            </w:r>
          </w:p>
        </w:tc>
      </w:tr>
      <w:tr w:rsidR="00DB1764" w:rsidRPr="003302D9" w:rsidTr="00B175AB">
        <w:trPr>
          <w:trHeight w:val="534"/>
          <w:jc w:val="center"/>
        </w:trPr>
        <w:tc>
          <w:tcPr>
            <w:tcW w:w="4906" w:type="dxa"/>
            <w:vAlign w:val="center"/>
          </w:tcPr>
          <w:p w:rsidR="00DB1764" w:rsidRPr="009E4FC6" w:rsidRDefault="00DB1764" w:rsidP="009E4FC6">
            <w:pPr>
              <w:pStyle w:val="nhsbase"/>
              <w:jc w:val="center"/>
              <w:rPr>
                <w:rFonts w:ascii="Arial Narrow" w:hAnsi="Arial Narrow"/>
                <w:sz w:val="22"/>
                <w:szCs w:val="22"/>
              </w:rPr>
            </w:pPr>
            <w:r w:rsidRPr="009E4FC6">
              <w:rPr>
                <w:rFonts w:ascii="Arial Narrow" w:hAnsi="Arial Narrow"/>
                <w:sz w:val="22"/>
                <w:szCs w:val="22"/>
              </w:rPr>
              <w:t>Jill Young, Chief Executive</w:t>
            </w:r>
          </w:p>
        </w:tc>
        <w:tc>
          <w:tcPr>
            <w:tcW w:w="1271" w:type="dxa"/>
          </w:tcPr>
          <w:p w:rsidR="00DB1764" w:rsidRDefault="00DB1764" w:rsidP="00DB1764">
            <w:pPr>
              <w:jc w:val="center"/>
            </w:pPr>
            <w:r w:rsidRPr="00311BAD">
              <w:rPr>
                <w:rFonts w:cs="Arial"/>
                <w:szCs w:val="24"/>
              </w:rPr>
              <w:sym w:font="Marlett" w:char="F061"/>
            </w:r>
          </w:p>
        </w:tc>
        <w:tc>
          <w:tcPr>
            <w:tcW w:w="1418" w:type="dxa"/>
          </w:tcPr>
          <w:p w:rsidR="00DB1764" w:rsidRDefault="00DB1764" w:rsidP="00DB1764">
            <w:pPr>
              <w:jc w:val="center"/>
            </w:pPr>
            <w:r w:rsidRPr="00311BAD">
              <w:rPr>
                <w:rFonts w:cs="Arial"/>
                <w:szCs w:val="24"/>
              </w:rPr>
              <w:sym w:font="Marlett" w:char="F061"/>
            </w:r>
          </w:p>
        </w:tc>
        <w:tc>
          <w:tcPr>
            <w:tcW w:w="1418" w:type="dxa"/>
            <w:vAlign w:val="center"/>
          </w:tcPr>
          <w:p w:rsidR="00DB1764"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c>
          <w:tcPr>
            <w:tcW w:w="1417" w:type="dxa"/>
          </w:tcPr>
          <w:p w:rsidR="00DB1764" w:rsidRDefault="00DB1764" w:rsidP="00DB1764">
            <w:pPr>
              <w:jc w:val="center"/>
            </w:pPr>
            <w:r w:rsidRPr="00736C31">
              <w:rPr>
                <w:rFonts w:cs="Arial"/>
                <w:szCs w:val="24"/>
              </w:rPr>
              <w:sym w:font="Marlett" w:char="F061"/>
            </w:r>
          </w:p>
        </w:tc>
      </w:tr>
      <w:tr w:rsidR="00DB1764" w:rsidRPr="003302D9" w:rsidTr="00B175AB">
        <w:trPr>
          <w:trHeight w:val="534"/>
          <w:jc w:val="center"/>
        </w:trPr>
        <w:tc>
          <w:tcPr>
            <w:tcW w:w="4906" w:type="dxa"/>
            <w:vAlign w:val="center"/>
          </w:tcPr>
          <w:p w:rsidR="00DB1764" w:rsidRPr="003302D9" w:rsidRDefault="00DB1764" w:rsidP="009E4FC6">
            <w:pPr>
              <w:pStyle w:val="nhsbase"/>
              <w:jc w:val="center"/>
              <w:rPr>
                <w:rFonts w:ascii="Arial Narrow" w:hAnsi="Arial Narrow"/>
                <w:sz w:val="22"/>
                <w:szCs w:val="22"/>
              </w:rPr>
            </w:pPr>
            <w:r w:rsidRPr="003302D9">
              <w:rPr>
                <w:rFonts w:ascii="Arial Narrow" w:hAnsi="Arial Narrow"/>
                <w:sz w:val="22"/>
                <w:szCs w:val="22"/>
              </w:rPr>
              <w:t>Anne Marie Cavanagh, Nurse Director</w:t>
            </w:r>
          </w:p>
        </w:tc>
        <w:tc>
          <w:tcPr>
            <w:tcW w:w="1271" w:type="dxa"/>
          </w:tcPr>
          <w:p w:rsidR="00DB1764" w:rsidRDefault="00DB1764" w:rsidP="00DB1764">
            <w:pPr>
              <w:jc w:val="center"/>
            </w:pPr>
            <w:r w:rsidRPr="00311BAD">
              <w:rPr>
                <w:rFonts w:cs="Arial"/>
                <w:szCs w:val="24"/>
              </w:rPr>
              <w:sym w:font="Marlett" w:char="F061"/>
            </w:r>
          </w:p>
        </w:tc>
        <w:tc>
          <w:tcPr>
            <w:tcW w:w="1418" w:type="dxa"/>
          </w:tcPr>
          <w:p w:rsidR="00DB1764" w:rsidRDefault="00DB1764" w:rsidP="00DB1764">
            <w:pPr>
              <w:jc w:val="center"/>
            </w:pPr>
            <w:r w:rsidRPr="00311BAD">
              <w:rPr>
                <w:rFonts w:cs="Arial"/>
                <w:szCs w:val="24"/>
              </w:rPr>
              <w:sym w:font="Marlett" w:char="F061"/>
            </w:r>
          </w:p>
        </w:tc>
        <w:tc>
          <w:tcPr>
            <w:tcW w:w="1418" w:type="dxa"/>
            <w:vAlign w:val="center"/>
          </w:tcPr>
          <w:p w:rsidR="00DB1764" w:rsidRPr="003302D9" w:rsidRDefault="00DB1764" w:rsidP="00DB1764">
            <w:pPr>
              <w:pStyle w:val="nhsbase"/>
              <w:jc w:val="center"/>
              <w:rPr>
                <w:rFonts w:ascii="Arial Narrow" w:hAnsi="Arial Narrow"/>
                <w:sz w:val="22"/>
                <w:szCs w:val="22"/>
              </w:rPr>
            </w:pPr>
            <w:r w:rsidRPr="00AC5F73">
              <w:rPr>
                <w:rFonts w:cs="Arial"/>
                <w:szCs w:val="24"/>
              </w:rPr>
              <w:sym w:font="Marlett" w:char="F061"/>
            </w:r>
          </w:p>
        </w:tc>
        <w:tc>
          <w:tcPr>
            <w:tcW w:w="1417" w:type="dxa"/>
          </w:tcPr>
          <w:p w:rsidR="00DB1764" w:rsidRDefault="00DB1764" w:rsidP="00DB1764">
            <w:pPr>
              <w:jc w:val="center"/>
            </w:pPr>
            <w:r w:rsidRPr="00736C31">
              <w:rPr>
                <w:rFonts w:cs="Arial"/>
                <w:szCs w:val="24"/>
              </w:rPr>
              <w:sym w:font="Marlett" w:char="F061"/>
            </w:r>
          </w:p>
        </w:tc>
      </w:tr>
      <w:tr w:rsidR="00874C7B" w:rsidRPr="003302D9" w:rsidTr="008B58FC">
        <w:trPr>
          <w:trHeight w:val="534"/>
          <w:jc w:val="center"/>
        </w:trPr>
        <w:tc>
          <w:tcPr>
            <w:tcW w:w="4906" w:type="dxa"/>
            <w:vAlign w:val="center"/>
          </w:tcPr>
          <w:p w:rsidR="00104C97" w:rsidRPr="003302D9" w:rsidRDefault="00874C7B" w:rsidP="00207244">
            <w:pPr>
              <w:pStyle w:val="nhsbase"/>
              <w:jc w:val="center"/>
              <w:rPr>
                <w:rFonts w:ascii="Arial Narrow" w:hAnsi="Arial Narrow"/>
                <w:sz w:val="22"/>
                <w:szCs w:val="22"/>
              </w:rPr>
            </w:pPr>
            <w:r w:rsidRPr="003302D9">
              <w:rPr>
                <w:rFonts w:ascii="Arial Narrow" w:hAnsi="Arial Narrow"/>
                <w:sz w:val="22"/>
                <w:szCs w:val="22"/>
              </w:rPr>
              <w:t>Mike Higgins</w:t>
            </w:r>
            <w:r w:rsidR="003302D9" w:rsidRPr="003302D9">
              <w:rPr>
                <w:rFonts w:ascii="Arial Narrow" w:hAnsi="Arial Narrow"/>
                <w:sz w:val="22"/>
                <w:szCs w:val="22"/>
              </w:rPr>
              <w:t>, Medical Director</w:t>
            </w:r>
            <w:r w:rsidR="00207244">
              <w:rPr>
                <w:rFonts w:ascii="Arial Narrow" w:hAnsi="Arial Narrow"/>
                <w:sz w:val="22"/>
                <w:szCs w:val="22"/>
              </w:rPr>
              <w:t xml:space="preserve"> </w:t>
            </w:r>
          </w:p>
        </w:tc>
        <w:tc>
          <w:tcPr>
            <w:tcW w:w="1271" w:type="dxa"/>
            <w:shd w:val="clear" w:color="auto" w:fill="A6A6A6" w:themeFill="background1" w:themeFillShade="A6"/>
            <w:vAlign w:val="center"/>
          </w:tcPr>
          <w:p w:rsidR="00874C7B" w:rsidRPr="003302D9" w:rsidRDefault="00874C7B" w:rsidP="00DB1764">
            <w:pPr>
              <w:pStyle w:val="nhsbase"/>
              <w:jc w:val="center"/>
              <w:rPr>
                <w:rFonts w:ascii="Arial Narrow" w:hAnsi="Arial Narrow" w:cs="Arial"/>
                <w:sz w:val="22"/>
                <w:szCs w:val="22"/>
              </w:rPr>
            </w:pPr>
          </w:p>
        </w:tc>
        <w:tc>
          <w:tcPr>
            <w:tcW w:w="1418" w:type="dxa"/>
            <w:vAlign w:val="center"/>
          </w:tcPr>
          <w:p w:rsidR="00874C7B" w:rsidRPr="003302D9" w:rsidRDefault="00DB1764" w:rsidP="00DB1764">
            <w:pPr>
              <w:pStyle w:val="nhsbase"/>
              <w:jc w:val="center"/>
              <w:rPr>
                <w:rFonts w:ascii="Arial Narrow" w:hAnsi="Arial Narrow"/>
                <w:sz w:val="22"/>
                <w:szCs w:val="22"/>
              </w:rPr>
            </w:pPr>
            <w:r w:rsidRPr="00AC5F73">
              <w:rPr>
                <w:rFonts w:cs="Arial"/>
                <w:szCs w:val="24"/>
              </w:rPr>
              <w:sym w:font="Marlett" w:char="F061"/>
            </w:r>
          </w:p>
        </w:tc>
        <w:tc>
          <w:tcPr>
            <w:tcW w:w="1418" w:type="dxa"/>
            <w:vAlign w:val="center"/>
          </w:tcPr>
          <w:p w:rsidR="00874C7B"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c>
          <w:tcPr>
            <w:tcW w:w="1417" w:type="dxa"/>
            <w:vAlign w:val="center"/>
          </w:tcPr>
          <w:p w:rsidR="00874C7B"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r>
      <w:tr w:rsidR="00207244" w:rsidRPr="003302D9" w:rsidTr="00310874">
        <w:trPr>
          <w:trHeight w:val="534"/>
          <w:jc w:val="center"/>
        </w:trPr>
        <w:tc>
          <w:tcPr>
            <w:tcW w:w="4906" w:type="dxa"/>
            <w:vAlign w:val="center"/>
          </w:tcPr>
          <w:p w:rsidR="00310874" w:rsidRDefault="00207244" w:rsidP="00207244">
            <w:pPr>
              <w:pStyle w:val="nhsbase"/>
              <w:jc w:val="center"/>
              <w:rPr>
                <w:rFonts w:ascii="Arial Narrow" w:hAnsi="Arial Narrow"/>
                <w:sz w:val="22"/>
                <w:szCs w:val="22"/>
              </w:rPr>
            </w:pPr>
            <w:r>
              <w:rPr>
                <w:rFonts w:ascii="Arial Narrow" w:hAnsi="Arial Narrow"/>
                <w:sz w:val="22"/>
                <w:szCs w:val="22"/>
              </w:rPr>
              <w:t xml:space="preserve">Hany Eteiba </w:t>
            </w:r>
          </w:p>
          <w:p w:rsidR="00207244" w:rsidRPr="003302D9" w:rsidRDefault="00207244" w:rsidP="00207244">
            <w:pPr>
              <w:pStyle w:val="nhsbase"/>
              <w:jc w:val="center"/>
              <w:rPr>
                <w:rFonts w:ascii="Arial Narrow" w:hAnsi="Arial Narrow"/>
                <w:sz w:val="22"/>
                <w:szCs w:val="22"/>
              </w:rPr>
            </w:pPr>
            <w:r>
              <w:rPr>
                <w:rFonts w:ascii="Arial Narrow" w:hAnsi="Arial Narrow"/>
                <w:sz w:val="22"/>
                <w:szCs w:val="22"/>
              </w:rPr>
              <w:t>(Acting Medical Director</w:t>
            </w:r>
            <w:r w:rsidR="00310874">
              <w:rPr>
                <w:rFonts w:ascii="Arial Narrow" w:hAnsi="Arial Narrow"/>
                <w:sz w:val="22"/>
                <w:szCs w:val="22"/>
              </w:rPr>
              <w:t xml:space="preserve"> Oct 2017 onwards</w:t>
            </w:r>
            <w:r>
              <w:rPr>
                <w:rFonts w:ascii="Arial Narrow" w:hAnsi="Arial Narrow"/>
                <w:sz w:val="22"/>
                <w:szCs w:val="22"/>
              </w:rPr>
              <w:t xml:space="preserve">) </w:t>
            </w:r>
          </w:p>
        </w:tc>
        <w:tc>
          <w:tcPr>
            <w:tcW w:w="1271" w:type="dxa"/>
            <w:vAlign w:val="center"/>
          </w:tcPr>
          <w:p w:rsidR="00207244" w:rsidRPr="003302D9" w:rsidRDefault="00DB1764" w:rsidP="00DB1764">
            <w:pPr>
              <w:pStyle w:val="nhsbase"/>
              <w:jc w:val="center"/>
              <w:rPr>
                <w:rFonts w:ascii="Arial Narrow" w:hAnsi="Arial Narrow" w:cs="Arial"/>
                <w:sz w:val="22"/>
                <w:szCs w:val="22"/>
              </w:rPr>
            </w:pPr>
            <w:r>
              <w:rPr>
                <w:rFonts w:ascii="Arial Narrow" w:hAnsi="Arial Narrow"/>
                <w:sz w:val="22"/>
                <w:szCs w:val="22"/>
              </w:rPr>
              <w:t>Apologies</w:t>
            </w:r>
          </w:p>
        </w:tc>
        <w:tc>
          <w:tcPr>
            <w:tcW w:w="1418" w:type="dxa"/>
            <w:vAlign w:val="center"/>
          </w:tcPr>
          <w:p w:rsidR="00207244"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c>
          <w:tcPr>
            <w:tcW w:w="1418" w:type="dxa"/>
            <w:vAlign w:val="center"/>
          </w:tcPr>
          <w:p w:rsidR="00207244"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c>
          <w:tcPr>
            <w:tcW w:w="1417" w:type="dxa"/>
            <w:vAlign w:val="center"/>
          </w:tcPr>
          <w:p w:rsidR="00207244" w:rsidRPr="003302D9" w:rsidRDefault="00DB1764" w:rsidP="00DB1764">
            <w:pPr>
              <w:pStyle w:val="nhsbase"/>
              <w:jc w:val="center"/>
              <w:rPr>
                <w:rFonts w:ascii="Arial Narrow" w:hAnsi="Arial Narrow"/>
                <w:sz w:val="22"/>
                <w:szCs w:val="22"/>
              </w:rPr>
            </w:pPr>
            <w:r>
              <w:rPr>
                <w:rFonts w:ascii="Arial Narrow" w:hAnsi="Arial Narrow"/>
                <w:sz w:val="22"/>
                <w:szCs w:val="22"/>
              </w:rPr>
              <w:t>Apologies</w:t>
            </w:r>
          </w:p>
        </w:tc>
      </w:tr>
      <w:tr w:rsidR="00DB1764" w:rsidRPr="003302D9" w:rsidTr="004015ED">
        <w:trPr>
          <w:trHeight w:val="534"/>
          <w:jc w:val="center"/>
        </w:trPr>
        <w:tc>
          <w:tcPr>
            <w:tcW w:w="4906" w:type="dxa"/>
            <w:vAlign w:val="center"/>
          </w:tcPr>
          <w:p w:rsidR="00DB1764" w:rsidRPr="003302D9" w:rsidRDefault="00DB1764" w:rsidP="009E4FC6">
            <w:pPr>
              <w:pStyle w:val="nhsbase"/>
              <w:jc w:val="center"/>
              <w:rPr>
                <w:rFonts w:ascii="Arial Narrow" w:hAnsi="Arial Narrow"/>
                <w:sz w:val="22"/>
                <w:szCs w:val="22"/>
              </w:rPr>
            </w:pPr>
            <w:r w:rsidRPr="003302D9">
              <w:rPr>
                <w:rFonts w:ascii="Arial Narrow" w:hAnsi="Arial Narrow"/>
                <w:sz w:val="22"/>
                <w:szCs w:val="22"/>
              </w:rPr>
              <w:t>Laura Langan Riach, Head of Clinical Governance</w:t>
            </w:r>
          </w:p>
        </w:tc>
        <w:tc>
          <w:tcPr>
            <w:tcW w:w="1271" w:type="dxa"/>
          </w:tcPr>
          <w:p w:rsidR="00DB1764" w:rsidRDefault="00DB1764" w:rsidP="00DB1764">
            <w:pPr>
              <w:jc w:val="center"/>
            </w:pPr>
            <w:r w:rsidRPr="002A156C">
              <w:rPr>
                <w:rFonts w:cs="Arial"/>
                <w:szCs w:val="24"/>
              </w:rPr>
              <w:sym w:font="Marlett" w:char="F061"/>
            </w:r>
          </w:p>
        </w:tc>
        <w:tc>
          <w:tcPr>
            <w:tcW w:w="1418" w:type="dxa"/>
          </w:tcPr>
          <w:p w:rsidR="00DB1764" w:rsidRDefault="00DB1764" w:rsidP="00DB1764">
            <w:pPr>
              <w:jc w:val="center"/>
            </w:pPr>
            <w:r w:rsidRPr="002A156C">
              <w:rPr>
                <w:rFonts w:cs="Arial"/>
                <w:szCs w:val="24"/>
              </w:rPr>
              <w:sym w:font="Marlett" w:char="F061"/>
            </w:r>
          </w:p>
        </w:tc>
        <w:tc>
          <w:tcPr>
            <w:tcW w:w="1418" w:type="dxa"/>
          </w:tcPr>
          <w:p w:rsidR="00DB1764" w:rsidRDefault="00DB1764" w:rsidP="00DB1764">
            <w:pPr>
              <w:jc w:val="center"/>
            </w:pPr>
            <w:r w:rsidRPr="002A156C">
              <w:rPr>
                <w:rFonts w:cs="Arial"/>
                <w:szCs w:val="24"/>
              </w:rPr>
              <w:sym w:font="Marlett" w:char="F061"/>
            </w:r>
          </w:p>
        </w:tc>
        <w:tc>
          <w:tcPr>
            <w:tcW w:w="1417" w:type="dxa"/>
          </w:tcPr>
          <w:p w:rsidR="00DB1764" w:rsidRDefault="00DB1764" w:rsidP="00DB1764">
            <w:pPr>
              <w:jc w:val="center"/>
            </w:pPr>
            <w:r w:rsidRPr="002A156C">
              <w:rPr>
                <w:rFonts w:cs="Arial"/>
                <w:szCs w:val="24"/>
              </w:rPr>
              <w:sym w:font="Marlett" w:char="F061"/>
            </w:r>
          </w:p>
        </w:tc>
      </w:tr>
      <w:tr w:rsidR="00104C97" w:rsidRPr="003302D9" w:rsidTr="00310874">
        <w:trPr>
          <w:trHeight w:val="293"/>
          <w:jc w:val="center"/>
        </w:trPr>
        <w:tc>
          <w:tcPr>
            <w:tcW w:w="10430" w:type="dxa"/>
            <w:gridSpan w:val="5"/>
            <w:shd w:val="clear" w:color="auto" w:fill="D9D9D9"/>
            <w:vAlign w:val="center"/>
          </w:tcPr>
          <w:p w:rsidR="00104C97" w:rsidRPr="00104C97" w:rsidRDefault="00104C97" w:rsidP="00104C97">
            <w:pPr>
              <w:pStyle w:val="nhsbase"/>
              <w:rPr>
                <w:rFonts w:ascii="Arial Narrow" w:hAnsi="Arial Narrow" w:cs="Arial"/>
                <w:b/>
                <w:sz w:val="22"/>
                <w:szCs w:val="22"/>
              </w:rPr>
            </w:pPr>
            <w:r w:rsidRPr="00104C97">
              <w:rPr>
                <w:rFonts w:ascii="Arial Narrow" w:hAnsi="Arial Narrow" w:cs="Arial"/>
                <w:b/>
                <w:sz w:val="22"/>
                <w:szCs w:val="22"/>
              </w:rPr>
              <w:t xml:space="preserve">By invite </w:t>
            </w:r>
          </w:p>
        </w:tc>
      </w:tr>
      <w:tr w:rsidR="00DB1764" w:rsidRPr="003302D9" w:rsidTr="00D32D08">
        <w:trPr>
          <w:trHeight w:val="534"/>
          <w:jc w:val="center"/>
        </w:trPr>
        <w:tc>
          <w:tcPr>
            <w:tcW w:w="4906" w:type="dxa"/>
            <w:vAlign w:val="center"/>
          </w:tcPr>
          <w:p w:rsidR="00DB1764" w:rsidRPr="003302D9" w:rsidRDefault="00DB1764" w:rsidP="009E4FC6">
            <w:pPr>
              <w:pStyle w:val="nhsbase"/>
              <w:jc w:val="center"/>
              <w:rPr>
                <w:rFonts w:ascii="Arial Narrow" w:hAnsi="Arial Narrow"/>
                <w:sz w:val="22"/>
                <w:szCs w:val="22"/>
              </w:rPr>
            </w:pPr>
            <w:r w:rsidRPr="003302D9">
              <w:rPr>
                <w:rFonts w:ascii="Arial Narrow" w:hAnsi="Arial Narrow"/>
                <w:sz w:val="22"/>
                <w:szCs w:val="22"/>
              </w:rPr>
              <w:t>Stewart Craig, Clinical Governance Lead Cardiac Surgery</w:t>
            </w:r>
          </w:p>
        </w:tc>
        <w:tc>
          <w:tcPr>
            <w:tcW w:w="1271" w:type="dxa"/>
          </w:tcPr>
          <w:p w:rsidR="00DB1764" w:rsidRDefault="00DB1764" w:rsidP="00DB1764">
            <w:pPr>
              <w:jc w:val="center"/>
            </w:pPr>
            <w:r w:rsidRPr="00463A81">
              <w:rPr>
                <w:rFonts w:cs="Arial"/>
                <w:szCs w:val="24"/>
              </w:rPr>
              <w:sym w:font="Marlett" w:char="F061"/>
            </w:r>
          </w:p>
        </w:tc>
        <w:tc>
          <w:tcPr>
            <w:tcW w:w="1418" w:type="dxa"/>
          </w:tcPr>
          <w:p w:rsidR="00DB1764" w:rsidRDefault="00DB1764" w:rsidP="00DB1764">
            <w:pPr>
              <w:jc w:val="center"/>
            </w:pPr>
            <w:r w:rsidRPr="00463A81">
              <w:rPr>
                <w:rFonts w:cs="Arial"/>
                <w:szCs w:val="24"/>
              </w:rPr>
              <w:sym w:font="Marlett" w:char="F061"/>
            </w:r>
          </w:p>
        </w:tc>
        <w:tc>
          <w:tcPr>
            <w:tcW w:w="1418" w:type="dxa"/>
            <w:vAlign w:val="center"/>
          </w:tcPr>
          <w:p w:rsidR="00DB1764" w:rsidRPr="003302D9" w:rsidRDefault="00DB1764" w:rsidP="00DB1764">
            <w:pPr>
              <w:pStyle w:val="nhsbase"/>
              <w:jc w:val="center"/>
              <w:rPr>
                <w:rFonts w:ascii="Arial Narrow" w:hAnsi="Arial Narrow" w:cs="Arial"/>
                <w:sz w:val="22"/>
                <w:szCs w:val="22"/>
              </w:rPr>
            </w:pPr>
          </w:p>
        </w:tc>
        <w:tc>
          <w:tcPr>
            <w:tcW w:w="1417" w:type="dxa"/>
          </w:tcPr>
          <w:p w:rsidR="00DB1764" w:rsidRDefault="00DB1764" w:rsidP="00DB1764">
            <w:pPr>
              <w:jc w:val="center"/>
            </w:pPr>
            <w:r w:rsidRPr="00AC7815">
              <w:rPr>
                <w:rFonts w:cs="Arial"/>
                <w:szCs w:val="24"/>
              </w:rPr>
              <w:sym w:font="Marlett" w:char="F061"/>
            </w:r>
          </w:p>
        </w:tc>
      </w:tr>
      <w:tr w:rsidR="00DB1764" w:rsidRPr="003302D9" w:rsidTr="002D13F0">
        <w:trPr>
          <w:trHeight w:val="534"/>
          <w:jc w:val="center"/>
        </w:trPr>
        <w:tc>
          <w:tcPr>
            <w:tcW w:w="4906" w:type="dxa"/>
            <w:vAlign w:val="center"/>
          </w:tcPr>
          <w:p w:rsidR="00DB1764" w:rsidRPr="003302D9" w:rsidRDefault="00DB1764" w:rsidP="009E4FC6">
            <w:pPr>
              <w:pStyle w:val="nhsbase"/>
              <w:jc w:val="center"/>
              <w:rPr>
                <w:rFonts w:ascii="Arial Narrow" w:hAnsi="Arial Narrow"/>
                <w:sz w:val="22"/>
                <w:szCs w:val="22"/>
              </w:rPr>
            </w:pPr>
            <w:r>
              <w:rPr>
                <w:rFonts w:ascii="Arial Narrow" w:hAnsi="Arial Narrow"/>
                <w:sz w:val="22"/>
                <w:szCs w:val="22"/>
              </w:rPr>
              <w:t>Theresa Williamson, Head of Nursing, Co-Chair SSD</w:t>
            </w:r>
          </w:p>
        </w:tc>
        <w:tc>
          <w:tcPr>
            <w:tcW w:w="1271" w:type="dxa"/>
            <w:vAlign w:val="center"/>
          </w:tcPr>
          <w:p w:rsidR="00DB1764"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vAlign w:val="center"/>
          </w:tcPr>
          <w:p w:rsidR="00DB1764" w:rsidRPr="003302D9" w:rsidRDefault="00DB1764" w:rsidP="00DB1764">
            <w:pPr>
              <w:pStyle w:val="nhsbase"/>
              <w:jc w:val="center"/>
              <w:rPr>
                <w:rFonts w:ascii="Arial Narrow" w:hAnsi="Arial Narrow" w:cs="Arial"/>
                <w:sz w:val="22"/>
                <w:szCs w:val="22"/>
              </w:rPr>
            </w:pPr>
          </w:p>
        </w:tc>
        <w:tc>
          <w:tcPr>
            <w:tcW w:w="1418" w:type="dxa"/>
          </w:tcPr>
          <w:p w:rsidR="00DB1764" w:rsidRDefault="00DB1764" w:rsidP="00DB1764">
            <w:pPr>
              <w:jc w:val="center"/>
            </w:pPr>
            <w:r w:rsidRPr="00CA50C1">
              <w:rPr>
                <w:rFonts w:cs="Arial"/>
                <w:szCs w:val="24"/>
              </w:rPr>
              <w:sym w:font="Marlett" w:char="F061"/>
            </w:r>
          </w:p>
        </w:tc>
        <w:tc>
          <w:tcPr>
            <w:tcW w:w="1417" w:type="dxa"/>
          </w:tcPr>
          <w:p w:rsidR="00DB1764" w:rsidRDefault="00DB1764" w:rsidP="00DB1764">
            <w:pPr>
              <w:jc w:val="center"/>
            </w:pPr>
            <w:r w:rsidRPr="00AC7815">
              <w:rPr>
                <w:rFonts w:cs="Arial"/>
                <w:szCs w:val="24"/>
              </w:rPr>
              <w:sym w:font="Marlett" w:char="F061"/>
            </w:r>
          </w:p>
        </w:tc>
      </w:tr>
      <w:tr w:rsidR="00DB1764" w:rsidRPr="003302D9" w:rsidTr="002D13F0">
        <w:trPr>
          <w:trHeight w:val="534"/>
          <w:jc w:val="center"/>
        </w:trPr>
        <w:tc>
          <w:tcPr>
            <w:tcW w:w="4906" w:type="dxa"/>
            <w:vAlign w:val="center"/>
          </w:tcPr>
          <w:p w:rsidR="00DB1764" w:rsidRPr="003302D9" w:rsidRDefault="00DB1764" w:rsidP="009E4FC6">
            <w:pPr>
              <w:pStyle w:val="nhsbase"/>
              <w:jc w:val="center"/>
              <w:rPr>
                <w:rFonts w:ascii="Arial Narrow" w:hAnsi="Arial Narrow"/>
                <w:sz w:val="22"/>
                <w:szCs w:val="22"/>
              </w:rPr>
            </w:pPr>
            <w:r>
              <w:rPr>
                <w:rFonts w:ascii="Arial Narrow" w:hAnsi="Arial Narrow"/>
                <w:sz w:val="22"/>
                <w:szCs w:val="22"/>
              </w:rPr>
              <w:t>Alistair Macfie, Associate Medical Director, SSD</w:t>
            </w:r>
          </w:p>
        </w:tc>
        <w:tc>
          <w:tcPr>
            <w:tcW w:w="1271" w:type="dxa"/>
            <w:vAlign w:val="center"/>
          </w:tcPr>
          <w:p w:rsidR="00DB1764" w:rsidRPr="003302D9" w:rsidRDefault="00DB1764" w:rsidP="00DB1764">
            <w:pPr>
              <w:pStyle w:val="nhsbase"/>
              <w:jc w:val="center"/>
              <w:rPr>
                <w:rFonts w:ascii="Arial Narrow" w:hAnsi="Arial Narrow" w:cs="Arial"/>
                <w:sz w:val="22"/>
                <w:szCs w:val="22"/>
              </w:rPr>
            </w:pPr>
          </w:p>
        </w:tc>
        <w:tc>
          <w:tcPr>
            <w:tcW w:w="1418" w:type="dxa"/>
            <w:vAlign w:val="center"/>
          </w:tcPr>
          <w:p w:rsidR="00DB1764"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tcPr>
          <w:p w:rsidR="00DB1764" w:rsidRDefault="00DB1764" w:rsidP="00DB1764">
            <w:pPr>
              <w:jc w:val="center"/>
            </w:pPr>
            <w:r w:rsidRPr="00CA50C1">
              <w:rPr>
                <w:rFonts w:cs="Arial"/>
                <w:szCs w:val="24"/>
              </w:rPr>
              <w:sym w:font="Marlett" w:char="F061"/>
            </w:r>
          </w:p>
        </w:tc>
        <w:tc>
          <w:tcPr>
            <w:tcW w:w="1417" w:type="dxa"/>
          </w:tcPr>
          <w:p w:rsidR="00DB1764" w:rsidRDefault="00DB1764" w:rsidP="00DB1764">
            <w:pPr>
              <w:jc w:val="center"/>
            </w:pPr>
            <w:r w:rsidRPr="00AC7815">
              <w:rPr>
                <w:rFonts w:cs="Arial"/>
                <w:szCs w:val="24"/>
              </w:rPr>
              <w:sym w:font="Marlett" w:char="F061"/>
            </w:r>
          </w:p>
        </w:tc>
      </w:tr>
      <w:tr w:rsidR="00DB1764" w:rsidRPr="003302D9" w:rsidTr="00D32D08">
        <w:trPr>
          <w:trHeight w:val="534"/>
          <w:jc w:val="center"/>
        </w:trPr>
        <w:tc>
          <w:tcPr>
            <w:tcW w:w="4906" w:type="dxa"/>
            <w:vAlign w:val="center"/>
          </w:tcPr>
          <w:p w:rsidR="00DB1764" w:rsidRPr="003302D9" w:rsidRDefault="00DB1764" w:rsidP="00104C97">
            <w:pPr>
              <w:pStyle w:val="nhsbase"/>
              <w:jc w:val="center"/>
              <w:rPr>
                <w:rFonts w:ascii="Arial Narrow" w:hAnsi="Arial Narrow"/>
                <w:sz w:val="22"/>
                <w:szCs w:val="22"/>
              </w:rPr>
            </w:pPr>
            <w:r>
              <w:rPr>
                <w:rFonts w:ascii="Arial Narrow" w:hAnsi="Arial Narrow"/>
                <w:sz w:val="22"/>
                <w:szCs w:val="22"/>
              </w:rPr>
              <w:t>Steven Friel, Head of Medical Physics</w:t>
            </w:r>
            <w:r w:rsidRPr="003302D9">
              <w:rPr>
                <w:rFonts w:ascii="Arial Narrow" w:hAnsi="Arial Narrow"/>
                <w:sz w:val="22"/>
                <w:szCs w:val="22"/>
              </w:rPr>
              <w:t>, RNM Co-Chair</w:t>
            </w:r>
          </w:p>
        </w:tc>
        <w:tc>
          <w:tcPr>
            <w:tcW w:w="1271" w:type="dxa"/>
            <w:vAlign w:val="center"/>
          </w:tcPr>
          <w:p w:rsidR="00DB1764" w:rsidRPr="003302D9" w:rsidRDefault="00DB1764" w:rsidP="00DB1764">
            <w:pPr>
              <w:pStyle w:val="nhsbase"/>
              <w:jc w:val="center"/>
              <w:rPr>
                <w:rFonts w:ascii="Arial Narrow" w:hAnsi="Arial Narrow" w:cs="Arial"/>
                <w:sz w:val="22"/>
                <w:szCs w:val="22"/>
              </w:rPr>
            </w:pPr>
          </w:p>
        </w:tc>
        <w:tc>
          <w:tcPr>
            <w:tcW w:w="1418" w:type="dxa"/>
            <w:vAlign w:val="center"/>
          </w:tcPr>
          <w:p w:rsidR="00DB1764" w:rsidRPr="003302D9" w:rsidRDefault="00DB1764" w:rsidP="00DB1764">
            <w:pPr>
              <w:pStyle w:val="nhsbase"/>
              <w:jc w:val="center"/>
              <w:rPr>
                <w:rFonts w:ascii="Arial Narrow" w:hAnsi="Arial Narrow" w:cs="Arial"/>
                <w:sz w:val="22"/>
                <w:szCs w:val="22"/>
              </w:rPr>
            </w:pPr>
          </w:p>
        </w:tc>
        <w:tc>
          <w:tcPr>
            <w:tcW w:w="1418" w:type="dxa"/>
            <w:vAlign w:val="center"/>
          </w:tcPr>
          <w:p w:rsidR="00DB1764" w:rsidRPr="003302D9" w:rsidRDefault="00DB1764" w:rsidP="00DB1764">
            <w:pPr>
              <w:pStyle w:val="nhsbase"/>
              <w:jc w:val="center"/>
              <w:rPr>
                <w:rFonts w:ascii="Arial Narrow" w:hAnsi="Arial Narrow" w:cs="Arial"/>
                <w:sz w:val="22"/>
                <w:szCs w:val="22"/>
              </w:rPr>
            </w:pPr>
          </w:p>
        </w:tc>
        <w:tc>
          <w:tcPr>
            <w:tcW w:w="1417" w:type="dxa"/>
          </w:tcPr>
          <w:p w:rsidR="00DB1764" w:rsidRDefault="00DB1764" w:rsidP="00DB1764">
            <w:pPr>
              <w:jc w:val="center"/>
            </w:pPr>
            <w:r w:rsidRPr="00AC7815">
              <w:rPr>
                <w:rFonts w:cs="Arial"/>
                <w:szCs w:val="24"/>
              </w:rPr>
              <w:sym w:font="Marlett" w:char="F061"/>
            </w:r>
          </w:p>
        </w:tc>
      </w:tr>
      <w:tr w:rsidR="00104C97" w:rsidRPr="003302D9" w:rsidTr="00310874">
        <w:trPr>
          <w:trHeight w:val="534"/>
          <w:jc w:val="center"/>
        </w:trPr>
        <w:tc>
          <w:tcPr>
            <w:tcW w:w="4906" w:type="dxa"/>
            <w:vAlign w:val="center"/>
          </w:tcPr>
          <w:p w:rsidR="00104C97" w:rsidRPr="003302D9" w:rsidRDefault="00104C97" w:rsidP="00104C97">
            <w:pPr>
              <w:pStyle w:val="nhsbase"/>
              <w:jc w:val="center"/>
              <w:rPr>
                <w:rFonts w:ascii="Arial Narrow" w:hAnsi="Arial Narrow"/>
                <w:sz w:val="22"/>
                <w:szCs w:val="22"/>
              </w:rPr>
            </w:pPr>
            <w:r w:rsidRPr="003302D9">
              <w:rPr>
                <w:rFonts w:ascii="Arial Narrow" w:hAnsi="Arial Narrow"/>
                <w:sz w:val="22"/>
                <w:szCs w:val="22"/>
              </w:rPr>
              <w:t>Jennifer Hunter, Clinical Nurse Manager, RNM Co-Chair</w:t>
            </w:r>
          </w:p>
        </w:tc>
        <w:tc>
          <w:tcPr>
            <w:tcW w:w="1271" w:type="dxa"/>
            <w:vAlign w:val="center"/>
          </w:tcPr>
          <w:p w:rsidR="00104C97"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vAlign w:val="center"/>
          </w:tcPr>
          <w:p w:rsidR="00104C97" w:rsidRPr="003302D9" w:rsidRDefault="00104C97" w:rsidP="00DB1764">
            <w:pPr>
              <w:pStyle w:val="nhsbase"/>
              <w:jc w:val="center"/>
              <w:rPr>
                <w:rFonts w:ascii="Arial Narrow" w:hAnsi="Arial Narrow" w:cs="Arial"/>
                <w:sz w:val="22"/>
                <w:szCs w:val="22"/>
              </w:rPr>
            </w:pPr>
          </w:p>
        </w:tc>
        <w:tc>
          <w:tcPr>
            <w:tcW w:w="1418" w:type="dxa"/>
            <w:vAlign w:val="center"/>
          </w:tcPr>
          <w:p w:rsidR="00104C97" w:rsidRPr="003302D9" w:rsidRDefault="00104C97" w:rsidP="00DB1764">
            <w:pPr>
              <w:pStyle w:val="nhsbase"/>
              <w:jc w:val="center"/>
              <w:rPr>
                <w:rFonts w:ascii="Arial Narrow" w:hAnsi="Arial Narrow" w:cs="Arial"/>
                <w:sz w:val="22"/>
                <w:szCs w:val="22"/>
              </w:rPr>
            </w:pPr>
          </w:p>
        </w:tc>
        <w:tc>
          <w:tcPr>
            <w:tcW w:w="1417" w:type="dxa"/>
            <w:vAlign w:val="center"/>
          </w:tcPr>
          <w:p w:rsidR="00104C97" w:rsidRPr="003302D9" w:rsidRDefault="00104C97" w:rsidP="00DB1764">
            <w:pPr>
              <w:pStyle w:val="nhsbase"/>
              <w:jc w:val="center"/>
              <w:rPr>
                <w:rFonts w:ascii="Arial Narrow" w:hAnsi="Arial Narrow" w:cs="Arial"/>
                <w:sz w:val="22"/>
                <w:szCs w:val="22"/>
              </w:rPr>
            </w:pPr>
          </w:p>
        </w:tc>
      </w:tr>
      <w:tr w:rsidR="00104C97" w:rsidRPr="003302D9" w:rsidTr="00310874">
        <w:trPr>
          <w:trHeight w:val="534"/>
          <w:jc w:val="center"/>
        </w:trPr>
        <w:tc>
          <w:tcPr>
            <w:tcW w:w="4906" w:type="dxa"/>
            <w:vAlign w:val="center"/>
          </w:tcPr>
          <w:p w:rsidR="00104C97" w:rsidRPr="003302D9" w:rsidRDefault="00104C97" w:rsidP="009E4FC6">
            <w:pPr>
              <w:pStyle w:val="nhsbase"/>
              <w:jc w:val="center"/>
              <w:rPr>
                <w:rFonts w:ascii="Arial Narrow" w:hAnsi="Arial Narrow"/>
                <w:sz w:val="22"/>
                <w:szCs w:val="22"/>
              </w:rPr>
            </w:pPr>
            <w:r>
              <w:rPr>
                <w:rFonts w:ascii="Arial Narrow" w:hAnsi="Arial Narrow"/>
                <w:sz w:val="22"/>
                <w:szCs w:val="22"/>
              </w:rPr>
              <w:t>Jane Rodman, Clinical Nurse Manager, RNM Co-Chair</w:t>
            </w:r>
          </w:p>
        </w:tc>
        <w:tc>
          <w:tcPr>
            <w:tcW w:w="1271" w:type="dxa"/>
            <w:vAlign w:val="center"/>
          </w:tcPr>
          <w:p w:rsidR="00104C97" w:rsidRPr="003302D9" w:rsidRDefault="00104C97" w:rsidP="00DB1764">
            <w:pPr>
              <w:pStyle w:val="nhsbase"/>
              <w:jc w:val="center"/>
              <w:rPr>
                <w:rFonts w:ascii="Arial Narrow" w:hAnsi="Arial Narrow" w:cs="Arial"/>
                <w:sz w:val="22"/>
                <w:szCs w:val="22"/>
              </w:rPr>
            </w:pPr>
          </w:p>
        </w:tc>
        <w:tc>
          <w:tcPr>
            <w:tcW w:w="1418" w:type="dxa"/>
            <w:vAlign w:val="center"/>
          </w:tcPr>
          <w:p w:rsidR="00104C97"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vAlign w:val="center"/>
          </w:tcPr>
          <w:p w:rsidR="00104C97" w:rsidRPr="003302D9" w:rsidRDefault="00104C97" w:rsidP="00DB1764">
            <w:pPr>
              <w:pStyle w:val="nhsbase"/>
              <w:jc w:val="center"/>
              <w:rPr>
                <w:rFonts w:ascii="Arial Narrow" w:hAnsi="Arial Narrow" w:cs="Arial"/>
                <w:sz w:val="22"/>
                <w:szCs w:val="22"/>
              </w:rPr>
            </w:pPr>
          </w:p>
        </w:tc>
        <w:tc>
          <w:tcPr>
            <w:tcW w:w="1417" w:type="dxa"/>
            <w:vAlign w:val="center"/>
          </w:tcPr>
          <w:p w:rsidR="00104C97"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r>
      <w:tr w:rsidR="00207244" w:rsidRPr="003302D9" w:rsidTr="00310874">
        <w:trPr>
          <w:trHeight w:val="534"/>
          <w:jc w:val="center"/>
        </w:trPr>
        <w:tc>
          <w:tcPr>
            <w:tcW w:w="4906" w:type="dxa"/>
            <w:vAlign w:val="center"/>
          </w:tcPr>
          <w:p w:rsidR="00207244" w:rsidRPr="00207244" w:rsidRDefault="008B58FC" w:rsidP="00207244">
            <w:pPr>
              <w:rPr>
                <w:rFonts w:ascii="Arial Narrow" w:hAnsi="Arial Narrow" w:cs="Arial"/>
                <w:sz w:val="22"/>
                <w:szCs w:val="22"/>
              </w:rPr>
            </w:pPr>
            <w:r>
              <w:rPr>
                <w:rFonts w:ascii="Arial Narrow" w:hAnsi="Arial Narrow" w:cs="Arial"/>
                <w:sz w:val="22"/>
                <w:szCs w:val="22"/>
              </w:rPr>
              <w:t xml:space="preserve">Paul Rocchiccioli, </w:t>
            </w:r>
            <w:r w:rsidR="00207244" w:rsidRPr="00207244">
              <w:rPr>
                <w:rFonts w:ascii="Arial Narrow" w:hAnsi="Arial Narrow" w:cs="Arial"/>
                <w:sz w:val="22"/>
                <w:szCs w:val="22"/>
              </w:rPr>
              <w:t>Consultant Ca</w:t>
            </w:r>
            <w:r>
              <w:rPr>
                <w:rFonts w:ascii="Arial Narrow" w:hAnsi="Arial Narrow" w:cs="Arial"/>
                <w:sz w:val="22"/>
                <w:szCs w:val="22"/>
              </w:rPr>
              <w:t>rdiologist / Divisional CG Lead</w:t>
            </w:r>
          </w:p>
        </w:tc>
        <w:tc>
          <w:tcPr>
            <w:tcW w:w="1271" w:type="dxa"/>
            <w:vAlign w:val="center"/>
          </w:tcPr>
          <w:p w:rsidR="00207244"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8" w:type="dxa"/>
            <w:vAlign w:val="center"/>
          </w:tcPr>
          <w:p w:rsidR="00207244" w:rsidRPr="003302D9" w:rsidRDefault="00207244" w:rsidP="00DB1764">
            <w:pPr>
              <w:pStyle w:val="nhsbase"/>
              <w:jc w:val="center"/>
              <w:rPr>
                <w:rFonts w:ascii="Arial Narrow" w:hAnsi="Arial Narrow" w:cs="Arial"/>
                <w:sz w:val="22"/>
                <w:szCs w:val="22"/>
              </w:rPr>
            </w:pPr>
          </w:p>
        </w:tc>
        <w:tc>
          <w:tcPr>
            <w:tcW w:w="1418" w:type="dxa"/>
            <w:vAlign w:val="center"/>
          </w:tcPr>
          <w:p w:rsidR="00207244" w:rsidRPr="003302D9" w:rsidRDefault="00DB1764" w:rsidP="00DB1764">
            <w:pPr>
              <w:pStyle w:val="nhsbase"/>
              <w:jc w:val="center"/>
              <w:rPr>
                <w:rFonts w:ascii="Arial Narrow" w:hAnsi="Arial Narrow" w:cs="Arial"/>
                <w:sz w:val="22"/>
                <w:szCs w:val="22"/>
              </w:rPr>
            </w:pPr>
            <w:r w:rsidRPr="00AC5F73">
              <w:rPr>
                <w:rFonts w:cs="Arial"/>
                <w:szCs w:val="24"/>
              </w:rPr>
              <w:sym w:font="Marlett" w:char="F061"/>
            </w:r>
          </w:p>
        </w:tc>
        <w:tc>
          <w:tcPr>
            <w:tcW w:w="1417" w:type="dxa"/>
            <w:vAlign w:val="center"/>
          </w:tcPr>
          <w:p w:rsidR="00207244" w:rsidRPr="003302D9" w:rsidRDefault="00207244" w:rsidP="00DB1764">
            <w:pPr>
              <w:pStyle w:val="nhsbase"/>
              <w:jc w:val="center"/>
              <w:rPr>
                <w:rFonts w:ascii="Arial Narrow" w:hAnsi="Arial Narrow" w:cs="Arial"/>
                <w:sz w:val="22"/>
                <w:szCs w:val="22"/>
              </w:rPr>
            </w:pPr>
          </w:p>
        </w:tc>
      </w:tr>
    </w:tbl>
    <w:p w:rsidR="009E4FC6" w:rsidRDefault="009E4FC6"/>
    <w:p w:rsidR="00874C7B" w:rsidRDefault="00874C7B" w:rsidP="00874C7B">
      <w:pPr>
        <w:pStyle w:val="nhsbase"/>
      </w:pPr>
      <w:r>
        <w:rPr>
          <w:b/>
        </w:rPr>
        <w:lastRenderedPageBreak/>
        <w:t xml:space="preserve">2. </w:t>
      </w:r>
      <w:r w:rsidRPr="002B1AD7">
        <w:rPr>
          <w:b/>
        </w:rPr>
        <w:t>Meetings</w:t>
      </w:r>
      <w:r>
        <w:t xml:space="preserve"> </w:t>
      </w:r>
    </w:p>
    <w:p w:rsidR="00874C7B" w:rsidRDefault="00874C7B" w:rsidP="00874C7B">
      <w:pPr>
        <w:pStyle w:val="nhsbase"/>
      </w:pPr>
      <w:r>
        <w:t>The Clinical Governance Committee had</w:t>
      </w:r>
      <w:r w:rsidRPr="00D5590A">
        <w:rPr>
          <w:color w:val="FF6600"/>
        </w:rPr>
        <w:t xml:space="preserve"> </w:t>
      </w:r>
      <w:r w:rsidRPr="00AB5D09">
        <w:t>four</w:t>
      </w:r>
      <w:r>
        <w:t xml:space="preserve"> formal meetings during the period 1 April 201</w:t>
      </w:r>
      <w:r w:rsidR="00347931">
        <w:t>7</w:t>
      </w:r>
      <w:r>
        <w:t xml:space="preserve"> to 31 March 201</w:t>
      </w:r>
      <w:r w:rsidR="00347931">
        <w:t>8</w:t>
      </w:r>
      <w:r>
        <w:t xml:space="preserve">. The attached report has been approved by all members of the committee. The work programme </w:t>
      </w:r>
      <w:r w:rsidR="00347931">
        <w:t>focused</w:t>
      </w:r>
      <w:r>
        <w:t xml:space="preserve"> around Safe, Effective and Person Centred Care with the following reports and issues considered by the committee: </w:t>
      </w:r>
    </w:p>
    <w:p w:rsidR="00874C7B" w:rsidRDefault="00874C7B" w:rsidP="00874C7B">
      <w:pPr>
        <w:pStyle w:val="nhsbase"/>
      </w:pPr>
    </w:p>
    <w:p w:rsidR="00874C7B" w:rsidRDefault="00874C7B" w:rsidP="00874C7B">
      <w:pPr>
        <w:pStyle w:val="nhsbase"/>
        <w:jc w:val="center"/>
        <w:rPr>
          <w:b/>
        </w:rPr>
      </w:pPr>
      <w:r w:rsidRPr="00874C7B">
        <w:rPr>
          <w:b/>
        </w:rPr>
        <w:t xml:space="preserve">Table 2: </w:t>
      </w:r>
      <w:r w:rsidR="00C211EF">
        <w:rPr>
          <w:b/>
        </w:rPr>
        <w:t>201</w:t>
      </w:r>
      <w:r w:rsidR="00347931">
        <w:rPr>
          <w:b/>
        </w:rPr>
        <w:t>7</w:t>
      </w:r>
      <w:r w:rsidR="00C211EF">
        <w:rPr>
          <w:b/>
        </w:rPr>
        <w:t xml:space="preserve"> /201</w:t>
      </w:r>
      <w:r w:rsidR="00347931">
        <w:rPr>
          <w:b/>
        </w:rPr>
        <w:t>8</w:t>
      </w:r>
      <w:r w:rsidR="00C211EF">
        <w:rPr>
          <w:b/>
        </w:rPr>
        <w:t xml:space="preserve"> </w:t>
      </w:r>
      <w:r w:rsidRPr="00874C7B">
        <w:rPr>
          <w:b/>
        </w:rPr>
        <w:t>Work Plan</w:t>
      </w:r>
    </w:p>
    <w:p w:rsidR="00594241" w:rsidRPr="00874C7B" w:rsidRDefault="00594241" w:rsidP="00874C7B">
      <w:pPr>
        <w:pStyle w:val="nhsbase"/>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8"/>
        <w:gridCol w:w="3565"/>
      </w:tblGrid>
      <w:tr w:rsidR="00347931" w:rsidTr="00347931">
        <w:trPr>
          <w:trHeight w:val="1380"/>
          <w:jc w:val="center"/>
        </w:trPr>
        <w:tc>
          <w:tcPr>
            <w:tcW w:w="3688" w:type="dxa"/>
            <w:tcBorders>
              <w:top w:val="single" w:sz="4" w:space="0" w:color="auto"/>
              <w:left w:val="single" w:sz="4" w:space="0" w:color="auto"/>
              <w:bottom w:val="single" w:sz="4" w:space="0" w:color="auto"/>
              <w:right w:val="single" w:sz="4" w:space="0" w:color="auto"/>
            </w:tcBorders>
          </w:tcPr>
          <w:p w:rsidR="00347931" w:rsidRPr="00AA3E9C" w:rsidRDefault="00347931" w:rsidP="00347931">
            <w:pPr>
              <w:pStyle w:val="nhsbase"/>
              <w:rPr>
                <w:u w:val="single"/>
              </w:rPr>
            </w:pPr>
            <w:r w:rsidRPr="00AA3E9C">
              <w:rPr>
                <w:u w:val="single"/>
              </w:rPr>
              <w:t>April 201</w:t>
            </w:r>
            <w:r>
              <w:rPr>
                <w:u w:val="single"/>
              </w:rPr>
              <w:t>7</w:t>
            </w:r>
          </w:p>
          <w:p w:rsidR="00347931" w:rsidRDefault="00347931" w:rsidP="00347931">
            <w:pPr>
              <w:pStyle w:val="nhsbase"/>
            </w:pPr>
            <w:r>
              <w:t xml:space="preserve">Division Updates </w:t>
            </w:r>
          </w:p>
          <w:p w:rsidR="00347931" w:rsidRPr="00AA3E9C" w:rsidRDefault="00347931" w:rsidP="00347931">
            <w:pPr>
              <w:pStyle w:val="nhsbase"/>
            </w:pPr>
            <w:r w:rsidRPr="00AA3E9C">
              <w:t xml:space="preserve">HAIRT Report </w:t>
            </w:r>
          </w:p>
          <w:p w:rsidR="00347931" w:rsidRPr="00AA3E9C" w:rsidRDefault="00347931" w:rsidP="00347931">
            <w:pPr>
              <w:pStyle w:val="nhsbase"/>
            </w:pPr>
            <w:r w:rsidRPr="00AA3E9C">
              <w:t xml:space="preserve">Closed </w:t>
            </w:r>
            <w:r>
              <w:t xml:space="preserve">Significant </w:t>
            </w:r>
            <w:r w:rsidRPr="00AA3E9C">
              <w:t xml:space="preserve">Events </w:t>
            </w:r>
          </w:p>
          <w:p w:rsidR="00347931" w:rsidRDefault="00347931" w:rsidP="00347931">
            <w:pPr>
              <w:pStyle w:val="nhsbase"/>
            </w:pPr>
            <w:r w:rsidRPr="00AA3E9C">
              <w:t xml:space="preserve">Schedule of Reports </w:t>
            </w:r>
          </w:p>
          <w:p w:rsidR="00347931" w:rsidRDefault="00347931" w:rsidP="00347931">
            <w:pPr>
              <w:pStyle w:val="nhsbase"/>
            </w:pPr>
            <w:r>
              <w:t>SPSP Report</w:t>
            </w:r>
          </w:p>
          <w:p w:rsidR="00347931" w:rsidRDefault="00347931" w:rsidP="00347931">
            <w:pPr>
              <w:pStyle w:val="nhsbase"/>
            </w:pPr>
            <w:r>
              <w:t xml:space="preserve">Claims Report </w:t>
            </w:r>
          </w:p>
          <w:p w:rsidR="00347931" w:rsidRPr="00AA3E9C" w:rsidRDefault="00347931" w:rsidP="00347931">
            <w:pPr>
              <w:pStyle w:val="nhsbase"/>
            </w:pPr>
          </w:p>
        </w:tc>
        <w:tc>
          <w:tcPr>
            <w:tcW w:w="3565" w:type="dxa"/>
            <w:vMerge w:val="restart"/>
            <w:tcBorders>
              <w:top w:val="single" w:sz="4" w:space="0" w:color="auto"/>
              <w:left w:val="single" w:sz="4" w:space="0" w:color="auto"/>
              <w:right w:val="single" w:sz="4" w:space="0" w:color="auto"/>
            </w:tcBorders>
          </w:tcPr>
          <w:p w:rsidR="00347931" w:rsidRPr="00AA3E9C" w:rsidRDefault="00347931" w:rsidP="00347931">
            <w:pPr>
              <w:pStyle w:val="nhsbase"/>
              <w:rPr>
                <w:u w:val="single"/>
              </w:rPr>
            </w:pPr>
            <w:r w:rsidRPr="00AA3E9C">
              <w:rPr>
                <w:u w:val="single"/>
              </w:rPr>
              <w:t>July 201</w:t>
            </w:r>
            <w:r>
              <w:rPr>
                <w:u w:val="single"/>
              </w:rPr>
              <w:t>7</w:t>
            </w:r>
          </w:p>
          <w:p w:rsidR="00347931" w:rsidRDefault="00347931" w:rsidP="00347931">
            <w:pPr>
              <w:pStyle w:val="nhsbase"/>
            </w:pPr>
            <w:r>
              <w:t xml:space="preserve">Division Updates </w:t>
            </w:r>
          </w:p>
          <w:p w:rsidR="00347931" w:rsidRPr="00AA3E9C" w:rsidRDefault="00347931" w:rsidP="00347931">
            <w:pPr>
              <w:pStyle w:val="nhsbase"/>
            </w:pPr>
            <w:r w:rsidRPr="00AA3E9C">
              <w:t xml:space="preserve">HAIRT Report </w:t>
            </w:r>
          </w:p>
          <w:p w:rsidR="00347931" w:rsidRDefault="00347931" w:rsidP="00347931">
            <w:pPr>
              <w:pStyle w:val="nhsbase"/>
            </w:pPr>
            <w:r w:rsidRPr="00AA3E9C">
              <w:t xml:space="preserve">Closed </w:t>
            </w:r>
            <w:r>
              <w:t xml:space="preserve">Significant </w:t>
            </w:r>
            <w:r w:rsidRPr="00AA3E9C">
              <w:t xml:space="preserve">Events </w:t>
            </w:r>
          </w:p>
          <w:p w:rsidR="00347931" w:rsidRDefault="00347931" w:rsidP="00347931">
            <w:pPr>
              <w:pStyle w:val="nhsbase"/>
            </w:pPr>
            <w:r>
              <w:t xml:space="preserve">Complaints Report </w:t>
            </w:r>
          </w:p>
          <w:p w:rsidR="00347931" w:rsidRDefault="00347931" w:rsidP="00347931">
            <w:pPr>
              <w:pStyle w:val="nhsbase"/>
            </w:pPr>
            <w:r>
              <w:t xml:space="preserve">Annual Learning Report </w:t>
            </w:r>
          </w:p>
          <w:p w:rsidR="00347931" w:rsidRPr="00AA3E9C" w:rsidRDefault="00347931" w:rsidP="00347931">
            <w:pPr>
              <w:pStyle w:val="nhsbase"/>
            </w:pPr>
          </w:p>
        </w:tc>
      </w:tr>
      <w:tr w:rsidR="00347931" w:rsidTr="00347931">
        <w:trPr>
          <w:trHeight w:val="1380"/>
          <w:jc w:val="center"/>
        </w:trPr>
        <w:tc>
          <w:tcPr>
            <w:tcW w:w="3688" w:type="dxa"/>
            <w:tcBorders>
              <w:top w:val="single" w:sz="4" w:space="0" w:color="auto"/>
              <w:left w:val="single" w:sz="4" w:space="0" w:color="auto"/>
              <w:bottom w:val="single" w:sz="4" w:space="0" w:color="auto"/>
              <w:right w:val="single" w:sz="4" w:space="0" w:color="auto"/>
            </w:tcBorders>
          </w:tcPr>
          <w:p w:rsidR="00347931" w:rsidRDefault="00347931" w:rsidP="00347931">
            <w:pPr>
              <w:pStyle w:val="nhsbase"/>
              <w:rPr>
                <w:u w:val="single"/>
              </w:rPr>
            </w:pPr>
          </w:p>
          <w:p w:rsidR="00347931" w:rsidRPr="00895FD2" w:rsidRDefault="00347931" w:rsidP="00347931">
            <w:pPr>
              <w:pStyle w:val="nhsbase"/>
              <w:rPr>
                <w:i/>
                <w:u w:val="single"/>
              </w:rPr>
            </w:pPr>
            <w:r w:rsidRPr="00895FD2">
              <w:rPr>
                <w:i/>
                <w:u w:val="single"/>
              </w:rPr>
              <w:t>May 201</w:t>
            </w:r>
            <w:r>
              <w:rPr>
                <w:i/>
                <w:u w:val="single"/>
              </w:rPr>
              <w:t>7</w:t>
            </w:r>
          </w:p>
          <w:p w:rsidR="00347931" w:rsidRPr="00AA3E9C" w:rsidRDefault="00347931" w:rsidP="00347931">
            <w:pPr>
              <w:pStyle w:val="nhsbase"/>
              <w:rPr>
                <w:u w:val="single"/>
              </w:rPr>
            </w:pPr>
            <w:r w:rsidRPr="00895FD2">
              <w:rPr>
                <w:i/>
              </w:rPr>
              <w:t>Specialist Sub Groups annual presentation</w:t>
            </w:r>
          </w:p>
        </w:tc>
        <w:tc>
          <w:tcPr>
            <w:tcW w:w="3565" w:type="dxa"/>
            <w:vMerge/>
            <w:tcBorders>
              <w:left w:val="single" w:sz="4" w:space="0" w:color="auto"/>
              <w:bottom w:val="single" w:sz="4" w:space="0" w:color="auto"/>
              <w:right w:val="single" w:sz="4" w:space="0" w:color="auto"/>
            </w:tcBorders>
          </w:tcPr>
          <w:p w:rsidR="00347931" w:rsidRPr="00AA3E9C" w:rsidRDefault="00347931" w:rsidP="00347931">
            <w:pPr>
              <w:pStyle w:val="nhsbase"/>
              <w:rPr>
                <w:u w:val="single"/>
              </w:rPr>
            </w:pPr>
          </w:p>
        </w:tc>
      </w:tr>
      <w:tr w:rsidR="00347931" w:rsidTr="00347931">
        <w:trPr>
          <w:trHeight w:val="2266"/>
          <w:jc w:val="center"/>
        </w:trPr>
        <w:tc>
          <w:tcPr>
            <w:tcW w:w="3688" w:type="dxa"/>
            <w:tcBorders>
              <w:top w:val="single" w:sz="4" w:space="0" w:color="auto"/>
              <w:left w:val="single" w:sz="4" w:space="0" w:color="auto"/>
              <w:bottom w:val="single" w:sz="4" w:space="0" w:color="auto"/>
              <w:right w:val="single" w:sz="4" w:space="0" w:color="auto"/>
            </w:tcBorders>
          </w:tcPr>
          <w:p w:rsidR="00347931" w:rsidRPr="00AA3E9C" w:rsidRDefault="00347931" w:rsidP="00347931">
            <w:pPr>
              <w:pStyle w:val="nhsbase"/>
              <w:rPr>
                <w:u w:val="single"/>
              </w:rPr>
            </w:pPr>
            <w:r w:rsidRPr="00AA3E9C">
              <w:rPr>
                <w:u w:val="single"/>
              </w:rPr>
              <w:t>October 201</w:t>
            </w:r>
            <w:r>
              <w:rPr>
                <w:u w:val="single"/>
              </w:rPr>
              <w:t>7</w:t>
            </w:r>
          </w:p>
          <w:p w:rsidR="00347931" w:rsidRDefault="00347931" w:rsidP="00347931">
            <w:pPr>
              <w:pStyle w:val="nhsbase"/>
            </w:pPr>
            <w:r>
              <w:t xml:space="preserve">Division Updates </w:t>
            </w:r>
          </w:p>
          <w:p w:rsidR="00347931" w:rsidRPr="00AA3E9C" w:rsidRDefault="00347931" w:rsidP="00347931">
            <w:pPr>
              <w:pStyle w:val="nhsbase"/>
            </w:pPr>
            <w:r w:rsidRPr="00AA3E9C">
              <w:t xml:space="preserve">HAIRT Report </w:t>
            </w:r>
          </w:p>
          <w:p w:rsidR="00347931" w:rsidRDefault="00347931" w:rsidP="00347931">
            <w:pPr>
              <w:pStyle w:val="nhsbase"/>
            </w:pPr>
            <w:r w:rsidRPr="00AA3E9C">
              <w:t xml:space="preserve">Closed </w:t>
            </w:r>
            <w:r>
              <w:t xml:space="preserve">Significant </w:t>
            </w:r>
            <w:r w:rsidRPr="00AA3E9C">
              <w:t xml:space="preserve">Events </w:t>
            </w:r>
          </w:p>
          <w:p w:rsidR="00347931" w:rsidRDefault="00347931" w:rsidP="00347931">
            <w:pPr>
              <w:pStyle w:val="nhsbase"/>
            </w:pPr>
            <w:r>
              <w:t xml:space="preserve">Claims Report </w:t>
            </w:r>
          </w:p>
          <w:p w:rsidR="00347931" w:rsidRPr="00AA3E9C" w:rsidRDefault="00347931" w:rsidP="00017153">
            <w:pPr>
              <w:pStyle w:val="nhsbase"/>
            </w:pPr>
          </w:p>
        </w:tc>
        <w:tc>
          <w:tcPr>
            <w:tcW w:w="3565" w:type="dxa"/>
            <w:tcBorders>
              <w:top w:val="single" w:sz="4" w:space="0" w:color="auto"/>
              <w:left w:val="single" w:sz="4" w:space="0" w:color="auto"/>
              <w:bottom w:val="single" w:sz="4" w:space="0" w:color="auto"/>
              <w:right w:val="single" w:sz="4" w:space="0" w:color="auto"/>
            </w:tcBorders>
          </w:tcPr>
          <w:p w:rsidR="00347931" w:rsidRPr="00AA3E9C" w:rsidRDefault="00347931" w:rsidP="00347931">
            <w:pPr>
              <w:pStyle w:val="nhsbase"/>
              <w:rPr>
                <w:u w:val="single"/>
              </w:rPr>
            </w:pPr>
            <w:r w:rsidRPr="00AA3E9C">
              <w:rPr>
                <w:u w:val="single"/>
              </w:rPr>
              <w:t>January 201</w:t>
            </w:r>
            <w:r>
              <w:rPr>
                <w:u w:val="single"/>
              </w:rPr>
              <w:t>8</w:t>
            </w:r>
          </w:p>
          <w:p w:rsidR="00347931" w:rsidRDefault="00347931" w:rsidP="00347931">
            <w:pPr>
              <w:pStyle w:val="nhsbase"/>
            </w:pPr>
            <w:r>
              <w:t xml:space="preserve">Division Updates </w:t>
            </w:r>
          </w:p>
          <w:p w:rsidR="00347931" w:rsidRPr="00AA3E9C" w:rsidRDefault="00347931" w:rsidP="00347931">
            <w:pPr>
              <w:pStyle w:val="nhsbase"/>
            </w:pPr>
            <w:r w:rsidRPr="00AA3E9C">
              <w:t xml:space="preserve">HAIRT Report </w:t>
            </w:r>
          </w:p>
          <w:p w:rsidR="00347931" w:rsidRDefault="00347931" w:rsidP="00347931">
            <w:pPr>
              <w:pStyle w:val="nhsbase"/>
            </w:pPr>
            <w:r w:rsidRPr="00AA3E9C">
              <w:t xml:space="preserve">Closed </w:t>
            </w:r>
            <w:r>
              <w:t xml:space="preserve">Significant </w:t>
            </w:r>
            <w:r w:rsidRPr="00AA3E9C">
              <w:t xml:space="preserve">Events </w:t>
            </w:r>
          </w:p>
          <w:p w:rsidR="00347931" w:rsidRDefault="00347931" w:rsidP="00347931">
            <w:pPr>
              <w:pStyle w:val="nhsbase"/>
            </w:pPr>
            <w:r>
              <w:t xml:space="preserve">SPSP Report </w:t>
            </w:r>
          </w:p>
          <w:p w:rsidR="00347931" w:rsidRPr="00AA3E9C" w:rsidRDefault="00347931" w:rsidP="00347931">
            <w:pPr>
              <w:pStyle w:val="nhsbase"/>
            </w:pPr>
            <w:r>
              <w:t xml:space="preserve">Complaints Report </w:t>
            </w:r>
          </w:p>
          <w:p w:rsidR="00347931" w:rsidRPr="00AA3E9C" w:rsidRDefault="00347931" w:rsidP="00347931">
            <w:pPr>
              <w:pStyle w:val="ListParagraph"/>
              <w:ind w:left="0"/>
            </w:pPr>
          </w:p>
        </w:tc>
      </w:tr>
    </w:tbl>
    <w:p w:rsidR="00874C7B" w:rsidRDefault="00874C7B"/>
    <w:p w:rsidR="00D03E6A" w:rsidRDefault="00874C7B" w:rsidP="00874C7B">
      <w:pPr>
        <w:pStyle w:val="nhsbase"/>
      </w:pPr>
      <w:r>
        <w:t>On</w:t>
      </w:r>
      <w:r w:rsidR="00594241">
        <w:t xml:space="preserve"> </w:t>
      </w:r>
      <w:r w:rsidR="00347931">
        <w:t>30</w:t>
      </w:r>
      <w:r w:rsidR="00347931" w:rsidRPr="00347931">
        <w:rPr>
          <w:vertAlign w:val="superscript"/>
        </w:rPr>
        <w:t>th</w:t>
      </w:r>
      <w:r w:rsidR="00594241">
        <w:t xml:space="preserve"> May 201</w:t>
      </w:r>
      <w:r w:rsidR="00347931">
        <w:t>7</w:t>
      </w:r>
      <w:r w:rsidR="00594241">
        <w:t xml:space="preserve"> the</w:t>
      </w:r>
      <w:r>
        <w:t xml:space="preserve"> Clinical Governance Committee received the annual presentations </w:t>
      </w:r>
      <w:r w:rsidR="00D03E6A">
        <w:t>from</w:t>
      </w:r>
      <w:r>
        <w:t xml:space="preserve"> the Specialist Groups and Committees that report to the Clinical Governance and Risk Management Group</w:t>
      </w:r>
      <w:r w:rsidR="00D03E6A">
        <w:t xml:space="preserve"> as follows</w:t>
      </w:r>
      <w:r>
        <w:t>:</w:t>
      </w:r>
    </w:p>
    <w:p w:rsidR="00D03E6A" w:rsidRDefault="00D03E6A" w:rsidP="00874C7B">
      <w:pPr>
        <w:pStyle w:val="nhsbase"/>
      </w:pPr>
    </w:p>
    <w:p w:rsidR="00D03E6A" w:rsidRDefault="00D03E6A" w:rsidP="00F44145">
      <w:pPr>
        <w:pStyle w:val="nhsbase"/>
        <w:numPr>
          <w:ilvl w:val="0"/>
          <w:numId w:val="21"/>
        </w:numPr>
      </w:pPr>
      <w:r>
        <w:t>Infusion Devices Committee</w:t>
      </w:r>
    </w:p>
    <w:p w:rsidR="00D03E6A" w:rsidRDefault="00D03E6A" w:rsidP="00F44145">
      <w:pPr>
        <w:pStyle w:val="nhsbase"/>
        <w:numPr>
          <w:ilvl w:val="0"/>
          <w:numId w:val="21"/>
        </w:numPr>
      </w:pPr>
      <w:r>
        <w:t>Drugs &amp; Therapeutics Committee</w:t>
      </w:r>
    </w:p>
    <w:p w:rsidR="00D03E6A" w:rsidRDefault="00D03E6A" w:rsidP="00F44145">
      <w:pPr>
        <w:pStyle w:val="nhsbase"/>
        <w:numPr>
          <w:ilvl w:val="0"/>
          <w:numId w:val="21"/>
        </w:numPr>
      </w:pPr>
      <w:r>
        <w:t>Health &amp; Safety Committee</w:t>
      </w:r>
    </w:p>
    <w:p w:rsidR="00D03E6A" w:rsidRDefault="00D03E6A" w:rsidP="00F44145">
      <w:pPr>
        <w:pStyle w:val="nhsbase"/>
        <w:numPr>
          <w:ilvl w:val="0"/>
          <w:numId w:val="21"/>
        </w:numPr>
      </w:pPr>
      <w:r>
        <w:t>Hospital Transfusion Committee</w:t>
      </w:r>
    </w:p>
    <w:p w:rsidR="00D03E6A" w:rsidRDefault="00D03E6A" w:rsidP="00F44145">
      <w:pPr>
        <w:pStyle w:val="nhsbase"/>
        <w:numPr>
          <w:ilvl w:val="0"/>
          <w:numId w:val="21"/>
        </w:numPr>
      </w:pPr>
      <w:r>
        <w:t>Acute Pain Service</w:t>
      </w:r>
    </w:p>
    <w:p w:rsidR="00D03E6A" w:rsidRDefault="00D03E6A" w:rsidP="00F44145">
      <w:pPr>
        <w:pStyle w:val="nhsbase"/>
        <w:numPr>
          <w:ilvl w:val="0"/>
          <w:numId w:val="21"/>
        </w:numPr>
      </w:pPr>
      <w:r>
        <w:t>Radiation Safety Committee</w:t>
      </w:r>
    </w:p>
    <w:p w:rsidR="00D03E6A" w:rsidRDefault="00D03E6A" w:rsidP="00F44145">
      <w:pPr>
        <w:pStyle w:val="nhsbase"/>
        <w:numPr>
          <w:ilvl w:val="0"/>
          <w:numId w:val="21"/>
        </w:numPr>
      </w:pPr>
      <w:r>
        <w:t xml:space="preserve">Food, Fluid &amp; Nutritional Care Group </w:t>
      </w:r>
    </w:p>
    <w:p w:rsidR="00D03E6A" w:rsidRDefault="00D03E6A" w:rsidP="00F44145">
      <w:pPr>
        <w:pStyle w:val="nhsbase"/>
        <w:numPr>
          <w:ilvl w:val="0"/>
          <w:numId w:val="21"/>
        </w:numPr>
      </w:pPr>
      <w:r>
        <w:t>Research &amp; Development Steering Group</w:t>
      </w:r>
    </w:p>
    <w:p w:rsidR="00D03E6A" w:rsidRDefault="00D03E6A" w:rsidP="00F44145">
      <w:pPr>
        <w:pStyle w:val="nhsbase"/>
        <w:numPr>
          <w:ilvl w:val="0"/>
          <w:numId w:val="21"/>
        </w:numPr>
      </w:pPr>
      <w:r>
        <w:t>Infection Control Committee</w:t>
      </w:r>
    </w:p>
    <w:p w:rsidR="00D03E6A" w:rsidRDefault="00D03E6A" w:rsidP="00F44145">
      <w:pPr>
        <w:pStyle w:val="nhsbase"/>
        <w:numPr>
          <w:ilvl w:val="0"/>
          <w:numId w:val="21"/>
        </w:numPr>
      </w:pPr>
      <w:r>
        <w:t>Resuscitation Committee</w:t>
      </w:r>
    </w:p>
    <w:p w:rsidR="00874C7B" w:rsidRDefault="00874C7B"/>
    <w:p w:rsidR="00D03E6A" w:rsidRDefault="00D03E6A">
      <w:r>
        <w:t>Each committee presented an overview of the work in last year highlighting successes and challenges and the key areas of focus for 201</w:t>
      </w:r>
      <w:r w:rsidR="00347931">
        <w:t>7</w:t>
      </w:r>
      <w:r>
        <w:t>/201</w:t>
      </w:r>
      <w:r w:rsidR="00347931">
        <w:t>8</w:t>
      </w:r>
      <w:r>
        <w:t xml:space="preserve">.  </w:t>
      </w:r>
    </w:p>
    <w:p w:rsidR="00714DA5" w:rsidRDefault="00714DA5"/>
    <w:p w:rsidR="008B58FC" w:rsidRDefault="008B58FC"/>
    <w:p w:rsidR="008B58FC" w:rsidRDefault="008B58FC"/>
    <w:p w:rsidR="008B58FC" w:rsidRDefault="008B58FC"/>
    <w:tbl>
      <w:tblPr>
        <w:tblW w:w="0" w:type="auto"/>
        <w:tblLook w:val="01E0"/>
      </w:tblPr>
      <w:tblGrid>
        <w:gridCol w:w="851"/>
        <w:gridCol w:w="8896"/>
      </w:tblGrid>
      <w:tr w:rsidR="002E1194" w:rsidTr="002B1AD7">
        <w:tc>
          <w:tcPr>
            <w:tcW w:w="851" w:type="dxa"/>
          </w:tcPr>
          <w:p w:rsidR="002E1194" w:rsidRPr="002B1AD7" w:rsidRDefault="002E1194">
            <w:pPr>
              <w:pStyle w:val="nhsbase"/>
              <w:rPr>
                <w:b/>
              </w:rPr>
            </w:pPr>
            <w:r w:rsidRPr="002B1AD7">
              <w:rPr>
                <w:b/>
              </w:rPr>
              <w:lastRenderedPageBreak/>
              <w:t>3.</w:t>
            </w:r>
          </w:p>
        </w:tc>
        <w:tc>
          <w:tcPr>
            <w:tcW w:w="8896" w:type="dxa"/>
          </w:tcPr>
          <w:p w:rsidR="00104C97" w:rsidRDefault="002E1194" w:rsidP="004A56EF">
            <w:pPr>
              <w:pStyle w:val="Default"/>
              <w:rPr>
                <w:b/>
              </w:rPr>
            </w:pPr>
            <w:r w:rsidRPr="0014789F">
              <w:rPr>
                <w:b/>
              </w:rPr>
              <w:t xml:space="preserve">Work Plan </w:t>
            </w:r>
          </w:p>
          <w:p w:rsidR="00104C97" w:rsidRDefault="00104C97" w:rsidP="004A56EF">
            <w:pPr>
              <w:pStyle w:val="Default"/>
              <w:rPr>
                <w:b/>
              </w:rPr>
            </w:pPr>
          </w:p>
          <w:p w:rsidR="0043738E" w:rsidRPr="00104C97" w:rsidRDefault="00347931" w:rsidP="00104C97">
            <w:pPr>
              <w:pStyle w:val="Default"/>
              <w:rPr>
                <w:b/>
              </w:rPr>
            </w:pPr>
            <w:r>
              <w:t>Following from a review last year, this year both clinical Divisions have presented a summary report to each meeting outlining the CG activity within their area.</w:t>
            </w:r>
            <w:r w:rsidR="0043738E">
              <w:t xml:space="preserve">  The chairs of the Division CG Forums attend to discuss the report which includes updates on Significant Adverse Events, complaints and the Scottish Patient Safety programme (SPSP).  Work has been undertaken in the year to develop the clinical audit reporting with an overview of Division clinical audit activity now included.     </w:t>
            </w:r>
            <w:r>
              <w:t xml:space="preserve">  </w:t>
            </w:r>
          </w:p>
          <w:p w:rsidR="0043738E" w:rsidRDefault="0043738E" w:rsidP="004A56EF">
            <w:pPr>
              <w:pStyle w:val="Default"/>
            </w:pPr>
          </w:p>
          <w:p w:rsidR="00527C82" w:rsidRDefault="00527C82" w:rsidP="004A56EF">
            <w:pPr>
              <w:pStyle w:val="Default"/>
            </w:pPr>
            <w:r>
              <w:t xml:space="preserve">The </w:t>
            </w:r>
            <w:r w:rsidR="0043738E">
              <w:t xml:space="preserve">Annual Learning report was reviewed by the committee in July 2017 which </w:t>
            </w:r>
            <w:r>
              <w:t xml:space="preserve">combines data from adverse events and complaints to identify themes and trends </w:t>
            </w:r>
            <w:r w:rsidR="0043738E">
              <w:t>and links to improvement activity. Deteriorating patient was identified as a key theme in our SAE with significant work focused on this via the SPSP</w:t>
            </w:r>
            <w:r>
              <w:t xml:space="preserve"> </w:t>
            </w:r>
            <w:r w:rsidR="0043738E">
              <w:t>Scottish Structured Response (SSR) work which has progressed well with spread within the year t</w:t>
            </w:r>
            <w:r w:rsidR="00017153">
              <w:t xml:space="preserve">o cardiology and orthopaedics. </w:t>
            </w:r>
          </w:p>
          <w:p w:rsidR="00017153" w:rsidRDefault="00017153" w:rsidP="004A56EF">
            <w:pPr>
              <w:pStyle w:val="Default"/>
            </w:pPr>
          </w:p>
          <w:p w:rsidR="00017153" w:rsidRDefault="00017153" w:rsidP="004A56EF">
            <w:pPr>
              <w:pStyle w:val="Default"/>
            </w:pPr>
            <w:r>
              <w:t xml:space="preserve">Surgical brief improvement work featured as a learning point in the Annual report with a focus on the how the quality of this can be improved.  Work is ongoing at Division level which is reported via the Division and SPSP reports.  This will continue in 2018/2019.   </w:t>
            </w:r>
          </w:p>
          <w:p w:rsidR="00AE527A" w:rsidRDefault="00AE527A" w:rsidP="00AE527A">
            <w:pPr>
              <w:pStyle w:val="nhsbase"/>
              <w:rPr>
                <w:b/>
                <w:highlight w:val="yellow"/>
              </w:rPr>
            </w:pPr>
          </w:p>
          <w:p w:rsidR="004A56EF" w:rsidRDefault="0043738E" w:rsidP="004A56EF">
            <w:pPr>
              <w:pStyle w:val="Default"/>
            </w:pPr>
            <w:r>
              <w:t xml:space="preserve">The Clinical Outcomes Framework development remains a focus of the committee with discussions and reviews of data ongoing through the year and plans to test the approach in one speciality in 2018 and finalise the approach in 2018/2019.   </w:t>
            </w:r>
          </w:p>
          <w:p w:rsidR="0043738E" w:rsidRDefault="0043738E" w:rsidP="004A56EF">
            <w:pPr>
              <w:pStyle w:val="Default"/>
            </w:pPr>
          </w:p>
          <w:p w:rsidR="0043738E" w:rsidRDefault="0043738E" w:rsidP="004A56EF">
            <w:pPr>
              <w:pStyle w:val="Default"/>
            </w:pPr>
            <w:r>
              <w:t xml:space="preserve">The committee monitored the implementation of the revised Complaints Handling procedure with reports received in July and January.  Complaints are also considered via the Person Centred Committee but the CGC noted the progress made and ongoing challenges in ensuring quality timely responses to patient concern.  </w:t>
            </w:r>
          </w:p>
          <w:p w:rsidR="00017153" w:rsidRPr="006A0081" w:rsidRDefault="00017153" w:rsidP="00AE527A">
            <w:pPr>
              <w:pStyle w:val="nhsbase"/>
              <w:rPr>
                <w:b/>
                <w:highlight w:val="yellow"/>
              </w:rPr>
            </w:pPr>
          </w:p>
          <w:p w:rsidR="00017153" w:rsidRDefault="00017153" w:rsidP="006A0081">
            <w:pPr>
              <w:pStyle w:val="Default"/>
              <w:jc w:val="both"/>
              <w:rPr>
                <w:color w:val="auto"/>
              </w:rPr>
            </w:pPr>
            <w:r>
              <w:rPr>
                <w:color w:val="auto"/>
              </w:rPr>
              <w:t xml:space="preserve">The committee acknowledged the Duty of Candour legislation coming into effect in April 2018 and work underway to support implementation.   </w:t>
            </w:r>
          </w:p>
          <w:p w:rsidR="00017153" w:rsidRDefault="00017153" w:rsidP="006A0081">
            <w:pPr>
              <w:pStyle w:val="Default"/>
              <w:jc w:val="both"/>
              <w:rPr>
                <w:color w:val="auto"/>
              </w:rPr>
            </w:pPr>
          </w:p>
          <w:p w:rsidR="007837A8" w:rsidRDefault="006A0081" w:rsidP="006A0081">
            <w:pPr>
              <w:pStyle w:val="Default"/>
              <w:jc w:val="both"/>
              <w:rPr>
                <w:color w:val="auto"/>
              </w:rPr>
            </w:pPr>
            <w:r w:rsidRPr="006A0081">
              <w:rPr>
                <w:color w:val="auto"/>
              </w:rPr>
              <w:t>The HAIRT report is a standing item on each governance committee meeting and allows memb</w:t>
            </w:r>
            <w:r w:rsidR="00DB6696">
              <w:rPr>
                <w:color w:val="auto"/>
              </w:rPr>
              <w:t xml:space="preserve">ers to be regularly updated on </w:t>
            </w:r>
            <w:r w:rsidR="007837A8" w:rsidRPr="006A0081">
              <w:rPr>
                <w:color w:val="auto"/>
              </w:rPr>
              <w:t>key Prevention</w:t>
            </w:r>
            <w:r w:rsidRPr="006A0081">
              <w:rPr>
                <w:color w:val="auto"/>
              </w:rPr>
              <w:t xml:space="preserve"> </w:t>
            </w:r>
            <w:r w:rsidR="00714DA5" w:rsidRPr="006A0081">
              <w:rPr>
                <w:color w:val="auto"/>
              </w:rPr>
              <w:t>and Control</w:t>
            </w:r>
            <w:r w:rsidR="0043738E">
              <w:rPr>
                <w:color w:val="auto"/>
              </w:rPr>
              <w:t xml:space="preserve"> of Infection </w:t>
            </w:r>
            <w:r w:rsidRPr="006A0081">
              <w:rPr>
                <w:color w:val="auto"/>
              </w:rPr>
              <w:t>areas.</w:t>
            </w:r>
            <w:r w:rsidR="00017153">
              <w:rPr>
                <w:color w:val="auto"/>
              </w:rPr>
              <w:t xml:space="preserve">  Key areas of focus in the year include improvements in MRSA 10 day screening, SAB prevention and the national work </w:t>
            </w:r>
            <w:r w:rsidR="00104C97">
              <w:rPr>
                <w:color w:val="auto"/>
              </w:rPr>
              <w:t xml:space="preserve">on </w:t>
            </w:r>
            <w:r w:rsidR="00017153">
              <w:rPr>
                <w:color w:val="auto"/>
              </w:rPr>
              <w:t xml:space="preserve"> </w:t>
            </w:r>
          </w:p>
          <w:p w:rsidR="007837A8" w:rsidRPr="007837A8" w:rsidRDefault="007837A8" w:rsidP="007837A8">
            <w:pPr>
              <w:pStyle w:val="Default"/>
              <w:jc w:val="both"/>
              <w:rPr>
                <w:color w:val="auto"/>
              </w:rPr>
            </w:pPr>
            <w:r>
              <w:rPr>
                <w:color w:val="auto"/>
              </w:rPr>
              <w:t xml:space="preserve">   </w:t>
            </w:r>
          </w:p>
        </w:tc>
      </w:tr>
      <w:tr w:rsidR="002E1194" w:rsidTr="002B1AD7">
        <w:tc>
          <w:tcPr>
            <w:tcW w:w="851" w:type="dxa"/>
          </w:tcPr>
          <w:p w:rsidR="002E1194" w:rsidRDefault="002E1194">
            <w:pPr>
              <w:pStyle w:val="nhsbase"/>
            </w:pPr>
          </w:p>
        </w:tc>
        <w:tc>
          <w:tcPr>
            <w:tcW w:w="8896" w:type="dxa"/>
          </w:tcPr>
          <w:p w:rsidR="002E1194" w:rsidRDefault="002E1194">
            <w:pPr>
              <w:pStyle w:val="nhsbase"/>
            </w:pPr>
          </w:p>
        </w:tc>
      </w:tr>
      <w:tr w:rsidR="002E1194" w:rsidTr="002B1AD7">
        <w:tc>
          <w:tcPr>
            <w:tcW w:w="851" w:type="dxa"/>
          </w:tcPr>
          <w:p w:rsidR="002E1194" w:rsidRPr="002B1AD7" w:rsidRDefault="00F44145">
            <w:pPr>
              <w:pStyle w:val="nhsbase"/>
              <w:rPr>
                <w:b/>
              </w:rPr>
            </w:pPr>
            <w:r>
              <w:rPr>
                <w:b/>
              </w:rPr>
              <w:t>4</w:t>
            </w:r>
            <w:r w:rsidR="002E1194" w:rsidRPr="002B1AD7">
              <w:rPr>
                <w:b/>
              </w:rPr>
              <w:t>.</w:t>
            </w:r>
          </w:p>
        </w:tc>
        <w:tc>
          <w:tcPr>
            <w:tcW w:w="8896" w:type="dxa"/>
          </w:tcPr>
          <w:p w:rsidR="002E1194" w:rsidRDefault="00FF61BA">
            <w:pPr>
              <w:pStyle w:val="nhsbase"/>
            </w:pPr>
            <w:r w:rsidRPr="00FF61BA">
              <w:rPr>
                <w:b/>
              </w:rPr>
              <w:t>Board Papers</w:t>
            </w:r>
          </w:p>
        </w:tc>
      </w:tr>
      <w:tr w:rsidR="002E1194" w:rsidTr="002B1AD7">
        <w:tc>
          <w:tcPr>
            <w:tcW w:w="851" w:type="dxa"/>
          </w:tcPr>
          <w:p w:rsidR="002E1194" w:rsidRDefault="002E1194">
            <w:pPr>
              <w:pStyle w:val="nhsbase"/>
            </w:pPr>
          </w:p>
        </w:tc>
        <w:tc>
          <w:tcPr>
            <w:tcW w:w="8896" w:type="dxa"/>
          </w:tcPr>
          <w:p w:rsidR="002E1194" w:rsidRDefault="002E1194">
            <w:pPr>
              <w:pStyle w:val="nhsbase"/>
            </w:pPr>
          </w:p>
        </w:tc>
      </w:tr>
      <w:tr w:rsidR="002E1194" w:rsidTr="002B1AD7">
        <w:tc>
          <w:tcPr>
            <w:tcW w:w="851" w:type="dxa"/>
          </w:tcPr>
          <w:p w:rsidR="002E1194" w:rsidRPr="00CD600D" w:rsidRDefault="002E1194">
            <w:pPr>
              <w:pStyle w:val="nhsbase"/>
            </w:pPr>
          </w:p>
        </w:tc>
        <w:tc>
          <w:tcPr>
            <w:tcW w:w="8896" w:type="dxa"/>
          </w:tcPr>
          <w:p w:rsidR="002E1194" w:rsidRDefault="002E1194">
            <w:pPr>
              <w:pStyle w:val="nhsbase"/>
            </w:pPr>
            <w:r>
              <w:t>The minutes of each of the Clinical Governance Committee meetings are presented to the next available Board meeting for discussion. Summary outputs from each meeting are presented to the first available Board meeting; this allows Board members to be appraised of any governance issues pending final approval of committee minutes.</w:t>
            </w:r>
          </w:p>
        </w:tc>
      </w:tr>
      <w:tr w:rsidR="002E1194" w:rsidTr="002B1AD7">
        <w:tc>
          <w:tcPr>
            <w:tcW w:w="851" w:type="dxa"/>
          </w:tcPr>
          <w:p w:rsidR="002E1194" w:rsidRDefault="002E1194">
            <w:pPr>
              <w:pStyle w:val="nhsbase"/>
            </w:pPr>
          </w:p>
        </w:tc>
        <w:tc>
          <w:tcPr>
            <w:tcW w:w="8896" w:type="dxa"/>
          </w:tcPr>
          <w:p w:rsidR="002E1194" w:rsidRDefault="002E1194">
            <w:pPr>
              <w:pStyle w:val="nhsbase"/>
            </w:pPr>
          </w:p>
          <w:p w:rsidR="008B58FC" w:rsidRDefault="008B58FC">
            <w:pPr>
              <w:pStyle w:val="nhsbase"/>
            </w:pPr>
          </w:p>
          <w:p w:rsidR="008B58FC" w:rsidRDefault="008B58FC">
            <w:pPr>
              <w:pStyle w:val="nhsbase"/>
            </w:pPr>
          </w:p>
        </w:tc>
      </w:tr>
      <w:tr w:rsidR="002E1194" w:rsidTr="002B1AD7">
        <w:tc>
          <w:tcPr>
            <w:tcW w:w="851" w:type="dxa"/>
          </w:tcPr>
          <w:p w:rsidR="002E1194" w:rsidRPr="002B1AD7" w:rsidRDefault="00F44145">
            <w:pPr>
              <w:pStyle w:val="nhsbase"/>
              <w:rPr>
                <w:b/>
              </w:rPr>
            </w:pPr>
            <w:r>
              <w:rPr>
                <w:b/>
              </w:rPr>
              <w:lastRenderedPageBreak/>
              <w:t>5</w:t>
            </w:r>
            <w:r w:rsidR="002E1194" w:rsidRPr="002B1AD7">
              <w:rPr>
                <w:b/>
              </w:rPr>
              <w:t>.</w:t>
            </w:r>
          </w:p>
        </w:tc>
        <w:tc>
          <w:tcPr>
            <w:tcW w:w="8896" w:type="dxa"/>
          </w:tcPr>
          <w:p w:rsidR="002E1194" w:rsidRPr="002B1AD7" w:rsidRDefault="00FF61BA">
            <w:pPr>
              <w:pStyle w:val="nhsbase"/>
              <w:rPr>
                <w:rFonts w:cs="Arial"/>
                <w:b/>
                <w:szCs w:val="24"/>
              </w:rPr>
            </w:pPr>
            <w:r w:rsidRPr="00FF61BA">
              <w:rPr>
                <w:rFonts w:cs="Arial"/>
                <w:b/>
                <w:szCs w:val="24"/>
              </w:rPr>
              <w:t>Risk Management</w:t>
            </w:r>
          </w:p>
        </w:tc>
      </w:tr>
      <w:tr w:rsidR="002E1194" w:rsidTr="002B1AD7">
        <w:tc>
          <w:tcPr>
            <w:tcW w:w="851" w:type="dxa"/>
          </w:tcPr>
          <w:p w:rsidR="002E1194" w:rsidRDefault="002E1194">
            <w:pPr>
              <w:pStyle w:val="nhsbase"/>
            </w:pPr>
          </w:p>
        </w:tc>
        <w:tc>
          <w:tcPr>
            <w:tcW w:w="8896" w:type="dxa"/>
          </w:tcPr>
          <w:p w:rsidR="002E1194" w:rsidRPr="002B1AD7" w:rsidRDefault="002E1194">
            <w:pPr>
              <w:pStyle w:val="nhsbase"/>
              <w:rPr>
                <w:rFonts w:cs="Arial"/>
                <w:szCs w:val="24"/>
              </w:rPr>
            </w:pPr>
          </w:p>
        </w:tc>
      </w:tr>
      <w:tr w:rsidR="002E1194" w:rsidTr="002B1AD7">
        <w:tc>
          <w:tcPr>
            <w:tcW w:w="851" w:type="dxa"/>
          </w:tcPr>
          <w:p w:rsidR="002E1194" w:rsidRPr="00CD600D" w:rsidRDefault="002E1194">
            <w:pPr>
              <w:pStyle w:val="nhsbase"/>
            </w:pPr>
          </w:p>
        </w:tc>
        <w:tc>
          <w:tcPr>
            <w:tcW w:w="8896" w:type="dxa"/>
          </w:tcPr>
          <w:p w:rsidR="002E76B5" w:rsidRPr="00F1768A" w:rsidRDefault="002E1194" w:rsidP="004E74F7">
            <w:pPr>
              <w:pStyle w:val="nhsbase"/>
              <w:rPr>
                <w:rFonts w:cs="Arial"/>
              </w:rPr>
            </w:pPr>
            <w:r w:rsidRPr="002E76B5">
              <w:rPr>
                <w:rFonts w:cs="Arial"/>
              </w:rPr>
              <w:t>There were no risks discussed at the committee that could impact on the governance statement. The Committee agreed that adequate control measures were in the place for those risks described in the Board risk register.</w:t>
            </w:r>
          </w:p>
        </w:tc>
      </w:tr>
      <w:tr w:rsidR="002E1194" w:rsidTr="002B1AD7">
        <w:tc>
          <w:tcPr>
            <w:tcW w:w="851" w:type="dxa"/>
          </w:tcPr>
          <w:p w:rsidR="002E1194" w:rsidRDefault="002E1194">
            <w:pPr>
              <w:pStyle w:val="nhsbase"/>
            </w:pPr>
          </w:p>
        </w:tc>
        <w:tc>
          <w:tcPr>
            <w:tcW w:w="8896" w:type="dxa"/>
          </w:tcPr>
          <w:p w:rsidR="002E1194" w:rsidRPr="00383805" w:rsidRDefault="002E1194">
            <w:pPr>
              <w:pStyle w:val="nhsbase"/>
              <w:rPr>
                <w:rFonts w:cs="Arial"/>
                <w:highlight w:val="yellow"/>
              </w:rPr>
            </w:pPr>
          </w:p>
        </w:tc>
      </w:tr>
      <w:tr w:rsidR="002E1194" w:rsidTr="002B1AD7">
        <w:tc>
          <w:tcPr>
            <w:tcW w:w="851" w:type="dxa"/>
          </w:tcPr>
          <w:p w:rsidR="002E1194" w:rsidRPr="00CD600D" w:rsidRDefault="002E1194">
            <w:pPr>
              <w:pStyle w:val="nhsbase"/>
            </w:pPr>
          </w:p>
        </w:tc>
        <w:tc>
          <w:tcPr>
            <w:tcW w:w="8896" w:type="dxa"/>
          </w:tcPr>
          <w:p w:rsidR="002E76B5" w:rsidRPr="002B1AD7" w:rsidRDefault="002E1194">
            <w:pPr>
              <w:pStyle w:val="nhsbase"/>
              <w:rPr>
                <w:rFonts w:cs="Arial"/>
              </w:rPr>
            </w:pPr>
            <w:r>
              <w:rPr>
                <w:rFonts w:cs="Arial"/>
              </w:rPr>
              <w:t xml:space="preserve">The committee was involved in the review of </w:t>
            </w:r>
            <w:r w:rsidR="007B42A1">
              <w:rPr>
                <w:rFonts w:cs="Arial"/>
              </w:rPr>
              <w:t xml:space="preserve">Board </w:t>
            </w:r>
            <w:r>
              <w:rPr>
                <w:rFonts w:cs="Arial"/>
              </w:rPr>
              <w:t xml:space="preserve">risk arrangements </w:t>
            </w:r>
            <w:r w:rsidR="002E76B5">
              <w:rPr>
                <w:rFonts w:cs="Arial"/>
              </w:rPr>
              <w:t xml:space="preserve">via Board workshops </w:t>
            </w:r>
            <w:r>
              <w:rPr>
                <w:rFonts w:cs="Arial"/>
              </w:rPr>
              <w:t xml:space="preserve">(See RM annual report for further detail) and continued to view the Board risk register. </w:t>
            </w:r>
          </w:p>
        </w:tc>
      </w:tr>
      <w:tr w:rsidR="002E1194" w:rsidTr="002B1AD7">
        <w:tc>
          <w:tcPr>
            <w:tcW w:w="851" w:type="dxa"/>
          </w:tcPr>
          <w:p w:rsidR="002E1194" w:rsidRPr="00016E7F" w:rsidRDefault="002E1194">
            <w:pPr>
              <w:pStyle w:val="nhsbase"/>
              <w:rPr>
                <w:b/>
              </w:rPr>
            </w:pPr>
          </w:p>
        </w:tc>
        <w:tc>
          <w:tcPr>
            <w:tcW w:w="8896" w:type="dxa"/>
          </w:tcPr>
          <w:p w:rsidR="002E1194" w:rsidRDefault="002E1194" w:rsidP="0061594B">
            <w:pPr>
              <w:pStyle w:val="nhsbase"/>
              <w:rPr>
                <w:rFonts w:cs="Arial"/>
              </w:rPr>
            </w:pPr>
          </w:p>
        </w:tc>
      </w:tr>
      <w:tr w:rsidR="002E1194" w:rsidTr="002B1AD7">
        <w:trPr>
          <w:trHeight w:val="245"/>
        </w:trPr>
        <w:tc>
          <w:tcPr>
            <w:tcW w:w="851" w:type="dxa"/>
          </w:tcPr>
          <w:p w:rsidR="002E1194" w:rsidRPr="002B1AD7" w:rsidRDefault="002E1194">
            <w:pPr>
              <w:pStyle w:val="nhsbase"/>
              <w:rPr>
                <w:rFonts w:cs="Arial"/>
              </w:rPr>
            </w:pPr>
          </w:p>
        </w:tc>
        <w:tc>
          <w:tcPr>
            <w:tcW w:w="8896" w:type="dxa"/>
          </w:tcPr>
          <w:p w:rsidR="002E1194" w:rsidRPr="002B1AD7" w:rsidRDefault="002E1194">
            <w:pPr>
              <w:pStyle w:val="nhsbase"/>
              <w:rPr>
                <w:rFonts w:cs="Arial"/>
              </w:rPr>
            </w:pPr>
          </w:p>
        </w:tc>
      </w:tr>
      <w:tr w:rsidR="002E1194" w:rsidTr="002B1AD7">
        <w:trPr>
          <w:trHeight w:val="537"/>
        </w:trPr>
        <w:tc>
          <w:tcPr>
            <w:tcW w:w="851" w:type="dxa"/>
          </w:tcPr>
          <w:p w:rsidR="002E1194" w:rsidRPr="002B1AD7" w:rsidRDefault="00F44145">
            <w:pPr>
              <w:pStyle w:val="nhsbase"/>
              <w:rPr>
                <w:rFonts w:cs="Arial"/>
              </w:rPr>
            </w:pPr>
            <w:r>
              <w:rPr>
                <w:b/>
              </w:rPr>
              <w:t>6</w:t>
            </w:r>
            <w:r w:rsidR="002E1194" w:rsidRPr="002B1AD7">
              <w:rPr>
                <w:b/>
              </w:rPr>
              <w:t>.</w:t>
            </w:r>
          </w:p>
        </w:tc>
        <w:tc>
          <w:tcPr>
            <w:tcW w:w="8896" w:type="dxa"/>
          </w:tcPr>
          <w:p w:rsidR="002E1194" w:rsidRPr="006F211C" w:rsidRDefault="00FF61BA">
            <w:pPr>
              <w:pStyle w:val="nhsbase"/>
              <w:rPr>
                <w:rFonts w:cs="Arial"/>
                <w:highlight w:val="yellow"/>
              </w:rPr>
            </w:pPr>
            <w:r w:rsidRPr="00FF61BA">
              <w:rPr>
                <w:rFonts w:cs="Arial"/>
                <w:b/>
              </w:rPr>
              <w:t>Chair’s Conclusion</w:t>
            </w:r>
          </w:p>
        </w:tc>
      </w:tr>
      <w:tr w:rsidR="002E1194" w:rsidTr="002B1AD7">
        <w:trPr>
          <w:trHeight w:val="537"/>
        </w:trPr>
        <w:tc>
          <w:tcPr>
            <w:tcW w:w="851" w:type="dxa"/>
          </w:tcPr>
          <w:p w:rsidR="002E1194" w:rsidRPr="00CD600D" w:rsidRDefault="002E1194">
            <w:pPr>
              <w:pStyle w:val="nhsbase"/>
              <w:rPr>
                <w:rFonts w:cs="Arial"/>
              </w:rPr>
            </w:pPr>
          </w:p>
        </w:tc>
        <w:tc>
          <w:tcPr>
            <w:tcW w:w="8896" w:type="dxa"/>
          </w:tcPr>
          <w:p w:rsidR="002E1194" w:rsidRPr="002B1AD7" w:rsidRDefault="002E1194">
            <w:pPr>
              <w:pStyle w:val="nhsbase"/>
              <w:rPr>
                <w:rFonts w:cs="Arial"/>
              </w:rPr>
            </w:pPr>
            <w:r w:rsidRPr="002B1AD7">
              <w:rPr>
                <w:rFonts w:cs="Arial"/>
              </w:rPr>
              <w:t xml:space="preserve">The </w:t>
            </w:r>
            <w:r>
              <w:rPr>
                <w:rFonts w:cs="Arial"/>
              </w:rPr>
              <w:t>Clinical Governance</w:t>
            </w:r>
            <w:r w:rsidRPr="002B1AD7">
              <w:rPr>
                <w:rFonts w:cs="Arial"/>
              </w:rPr>
              <w:t xml:space="preserve"> Committee continues to develop in the contribution that the Committee makes to </w:t>
            </w:r>
            <w:proofErr w:type="gramStart"/>
            <w:r w:rsidRPr="002B1AD7">
              <w:rPr>
                <w:rFonts w:cs="Arial"/>
              </w:rPr>
              <w:t>ensuring</w:t>
            </w:r>
            <w:proofErr w:type="gramEnd"/>
            <w:r w:rsidRPr="002B1AD7">
              <w:rPr>
                <w:rFonts w:cs="Arial"/>
              </w:rPr>
              <w:t xml:space="preserve"> the continued provision and improvement in Internal Control arrangements within the Board and, in accordance with its Terms of Reference, will seek to maintain that progress.</w:t>
            </w:r>
          </w:p>
          <w:p w:rsidR="002E1194" w:rsidRPr="002B1AD7" w:rsidRDefault="002E1194">
            <w:pPr>
              <w:pStyle w:val="nhsbase"/>
              <w:rPr>
                <w:rFonts w:cs="Arial"/>
              </w:rPr>
            </w:pPr>
          </w:p>
        </w:tc>
      </w:tr>
      <w:tr w:rsidR="002E1194" w:rsidTr="002B1AD7">
        <w:trPr>
          <w:trHeight w:val="537"/>
        </w:trPr>
        <w:tc>
          <w:tcPr>
            <w:tcW w:w="851" w:type="dxa"/>
          </w:tcPr>
          <w:p w:rsidR="002E1194" w:rsidRPr="00CD600D" w:rsidRDefault="002E1194">
            <w:pPr>
              <w:pStyle w:val="nhsbase"/>
              <w:rPr>
                <w:rFonts w:cs="Arial"/>
              </w:rPr>
            </w:pPr>
          </w:p>
        </w:tc>
        <w:tc>
          <w:tcPr>
            <w:tcW w:w="8896" w:type="dxa"/>
          </w:tcPr>
          <w:p w:rsidR="002E1194" w:rsidRPr="002B1AD7" w:rsidRDefault="002E1194">
            <w:pPr>
              <w:pStyle w:val="nhsbase"/>
              <w:rPr>
                <w:rFonts w:cs="Arial"/>
              </w:rPr>
            </w:pPr>
            <w:r w:rsidRPr="002B1AD7">
              <w:rPr>
                <w:rFonts w:cs="Arial"/>
              </w:rPr>
              <w:t xml:space="preserve">The Chair concludes that the </w:t>
            </w:r>
            <w:r>
              <w:rPr>
                <w:rFonts w:cs="Arial"/>
              </w:rPr>
              <w:t>Clinical Governance</w:t>
            </w:r>
            <w:r w:rsidRPr="002B1AD7">
              <w:rPr>
                <w:rFonts w:cs="Arial"/>
              </w:rPr>
              <w:t xml:space="preserve"> Committee has fulfilled its remit and considers that there are</w:t>
            </w:r>
            <w:r>
              <w:rPr>
                <w:rFonts w:cs="Arial"/>
              </w:rPr>
              <w:t xml:space="preserve"> adequate arrangements in place to ensure that clinical governance arrangements are in place to fulfil the requirements of the code of governance</w:t>
            </w:r>
            <w:r w:rsidRPr="002B1AD7">
              <w:rPr>
                <w:rFonts w:cs="Arial"/>
              </w:rPr>
              <w:t>.</w:t>
            </w:r>
          </w:p>
          <w:p w:rsidR="002E1194" w:rsidRPr="002B1AD7" w:rsidRDefault="002E1194">
            <w:pPr>
              <w:pStyle w:val="nhsbase"/>
              <w:rPr>
                <w:rFonts w:cs="Arial"/>
              </w:rPr>
            </w:pPr>
          </w:p>
        </w:tc>
      </w:tr>
    </w:tbl>
    <w:p w:rsidR="002E1194" w:rsidRDefault="002E1194">
      <w:pPr>
        <w:pStyle w:val="Footer"/>
        <w:jc w:val="right"/>
        <w:rPr>
          <w:b/>
        </w:rPr>
      </w:pPr>
    </w:p>
    <w:p w:rsidR="002E1194" w:rsidRDefault="002E1194">
      <w:pPr>
        <w:pStyle w:val="Footer"/>
        <w:jc w:val="right"/>
        <w:rPr>
          <w:b/>
        </w:rPr>
      </w:pPr>
      <w:r>
        <w:rPr>
          <w:b/>
        </w:rPr>
        <w:t>Mark MacGregor, Chair – Clinical Governance Committee</w:t>
      </w:r>
    </w:p>
    <w:p w:rsidR="002E1194" w:rsidRDefault="002E1194" w:rsidP="00E047A3">
      <w:pPr>
        <w:pStyle w:val="Footer"/>
        <w:tabs>
          <w:tab w:val="clear" w:pos="4153"/>
        </w:tabs>
        <w:jc w:val="right"/>
        <w:sectPr w:rsidR="002E1194" w:rsidSect="0070683F">
          <w:headerReference w:type="even" r:id="rId9"/>
          <w:headerReference w:type="default" r:id="rId10"/>
          <w:footerReference w:type="even" r:id="rId11"/>
          <w:footerReference w:type="default" r:id="rId12"/>
          <w:headerReference w:type="first" r:id="rId13"/>
          <w:pgSz w:w="11906" w:h="16838" w:code="9"/>
          <w:pgMar w:top="1134" w:right="1134" w:bottom="1134" w:left="1134" w:header="567" w:footer="567" w:gutter="0"/>
          <w:pgNumType w:start="1"/>
          <w:cols w:space="720"/>
        </w:sectPr>
      </w:pPr>
      <w:r>
        <w:rPr>
          <w:b/>
        </w:rPr>
        <w:t xml:space="preserve">                                               Presented to committee</w:t>
      </w:r>
      <w:r w:rsidR="006A0081">
        <w:rPr>
          <w:b/>
        </w:rPr>
        <w:t xml:space="preserve"> </w:t>
      </w:r>
      <w:r w:rsidR="007837A8">
        <w:rPr>
          <w:b/>
        </w:rPr>
        <w:t>April</w:t>
      </w:r>
      <w:r w:rsidR="006A0081">
        <w:rPr>
          <w:b/>
        </w:rPr>
        <w:t xml:space="preserve"> 201</w:t>
      </w:r>
      <w:r w:rsidR="00104C97">
        <w:rPr>
          <w:b/>
        </w:rPr>
        <w:t>8</w:t>
      </w:r>
      <w:r w:rsidR="006A0081">
        <w:rPr>
          <w:b/>
        </w:rPr>
        <w:t xml:space="preserve"> </w:t>
      </w:r>
      <w:r>
        <w:rPr>
          <w:b/>
        </w:rPr>
        <w:t xml:space="preserve"> </w:t>
      </w:r>
    </w:p>
    <w:p w:rsidR="001A4137" w:rsidRDefault="001A4137">
      <w:pPr>
        <w:ind w:left="-180"/>
        <w:rPr>
          <w:b/>
          <w:lang w:eastAsia="en-US"/>
        </w:rPr>
      </w:pPr>
    </w:p>
    <w:p w:rsidR="00497CDD" w:rsidRPr="00B120F7" w:rsidRDefault="00497CDD" w:rsidP="00497CDD">
      <w:pPr>
        <w:jc w:val="center"/>
        <w:rPr>
          <w:rFonts w:cs="Arial"/>
          <w:b/>
        </w:rPr>
      </w:pPr>
      <w:r w:rsidRPr="00B120F7">
        <w:rPr>
          <w:rFonts w:cs="Arial"/>
          <w:b/>
        </w:rPr>
        <w:t xml:space="preserve">CLINICAL GOVERNANCE COMMITTEE </w:t>
      </w:r>
    </w:p>
    <w:p w:rsidR="00497CDD" w:rsidRPr="00B120F7" w:rsidRDefault="00497CDD" w:rsidP="00497CDD">
      <w:pPr>
        <w:ind w:left="-180"/>
        <w:jc w:val="center"/>
        <w:rPr>
          <w:rFonts w:cs="Arial"/>
          <w:b/>
        </w:rPr>
      </w:pPr>
      <w:r w:rsidRPr="00B120F7">
        <w:rPr>
          <w:rFonts w:cs="Arial"/>
          <w:b/>
        </w:rPr>
        <w:t>Terms of Reference considered April 2017</w:t>
      </w:r>
    </w:p>
    <w:p w:rsidR="00497CDD" w:rsidRPr="00B120F7" w:rsidRDefault="00497CDD" w:rsidP="00497CDD">
      <w:pPr>
        <w:rPr>
          <w:rFonts w:cs="Arial"/>
          <w:b/>
        </w:rPr>
      </w:pPr>
    </w:p>
    <w:p w:rsidR="00497CDD" w:rsidRPr="00B120F7" w:rsidRDefault="00497CDD" w:rsidP="00497CDD">
      <w:pPr>
        <w:pStyle w:val="Heading2"/>
        <w:rPr>
          <w:rFonts w:cs="Arial"/>
        </w:rPr>
      </w:pPr>
      <w:r w:rsidRPr="00B120F7">
        <w:rPr>
          <w:rFonts w:cs="Arial"/>
        </w:rPr>
        <w:t>TERMS OF REFERENCE</w:t>
      </w:r>
    </w:p>
    <w:p w:rsidR="00497CDD" w:rsidRPr="00B120F7" w:rsidRDefault="00497CDD" w:rsidP="00497CDD">
      <w:pPr>
        <w:rPr>
          <w:rFonts w:cs="Arial"/>
        </w:rPr>
      </w:pPr>
    </w:p>
    <w:p w:rsidR="00497CDD" w:rsidRPr="00B120F7" w:rsidRDefault="00497CDD" w:rsidP="00497CDD">
      <w:pPr>
        <w:numPr>
          <w:ilvl w:val="0"/>
          <w:numId w:val="24"/>
        </w:numPr>
        <w:jc w:val="both"/>
        <w:rPr>
          <w:rFonts w:cs="Arial"/>
          <w:b/>
        </w:rPr>
      </w:pPr>
      <w:r w:rsidRPr="00B120F7">
        <w:rPr>
          <w:rFonts w:cs="Arial"/>
          <w:b/>
        </w:rPr>
        <w:t>Purpose</w:t>
      </w:r>
    </w:p>
    <w:p w:rsidR="00497CDD" w:rsidRPr="00B120F7" w:rsidRDefault="00497CDD" w:rsidP="00497CDD">
      <w:pPr>
        <w:jc w:val="both"/>
        <w:rPr>
          <w:rFonts w:cs="Arial"/>
        </w:rPr>
      </w:pPr>
      <w:r w:rsidRPr="00B120F7">
        <w:rPr>
          <w:rFonts w:cs="Arial"/>
        </w:rPr>
        <w:t xml:space="preserve">The NHS Scotland Healthcare Quality Strategy is about putting people at the heart of everything we do, delivering measureable improvement and creating confidence that </w:t>
      </w:r>
      <w:proofErr w:type="spellStart"/>
      <w:r w:rsidRPr="00B120F7">
        <w:rPr>
          <w:rFonts w:cs="Arial"/>
        </w:rPr>
        <w:t>NHSScotland</w:t>
      </w:r>
      <w:proofErr w:type="spellEnd"/>
      <w:r w:rsidRPr="00B120F7">
        <w:rPr>
          <w:rFonts w:cs="Arial"/>
        </w:rPr>
        <w:t xml:space="preserve"> is delivering the highest quality healthcare. </w:t>
      </w:r>
    </w:p>
    <w:p w:rsidR="00497CDD" w:rsidRPr="00B120F7" w:rsidRDefault="00497CDD" w:rsidP="00497CDD">
      <w:pPr>
        <w:jc w:val="both"/>
        <w:rPr>
          <w:rFonts w:cs="Arial"/>
        </w:rPr>
      </w:pPr>
    </w:p>
    <w:p w:rsidR="00497CDD" w:rsidRPr="00B120F7" w:rsidRDefault="00497CDD" w:rsidP="00497CDD">
      <w:pPr>
        <w:pStyle w:val="BodyText"/>
        <w:rPr>
          <w:rFonts w:cs="Arial"/>
        </w:rPr>
      </w:pPr>
      <w:r w:rsidRPr="00B120F7">
        <w:rPr>
          <w:rFonts w:cs="Arial"/>
        </w:rPr>
        <w:t>This Committee shall be a standing committee of the NWTC Board which is part of the governance framework for NHS Boards and will:</w:t>
      </w:r>
    </w:p>
    <w:p w:rsidR="00497CDD" w:rsidRPr="00B120F7" w:rsidRDefault="00497CDD" w:rsidP="00497CDD">
      <w:pPr>
        <w:jc w:val="both"/>
        <w:rPr>
          <w:rFonts w:cs="Arial"/>
        </w:rPr>
      </w:pPr>
    </w:p>
    <w:p w:rsidR="00497CDD" w:rsidRPr="00B120F7" w:rsidRDefault="00497CDD" w:rsidP="00497CDD">
      <w:pPr>
        <w:ind w:left="720" w:hanging="720"/>
        <w:jc w:val="both"/>
        <w:rPr>
          <w:rFonts w:cs="Arial"/>
        </w:rPr>
      </w:pPr>
      <w:proofErr w:type="gramStart"/>
      <w:r w:rsidRPr="00B120F7">
        <w:rPr>
          <w:rFonts w:cs="Arial"/>
        </w:rPr>
        <w:t>1.1</w:t>
      </w:r>
      <w:r w:rsidRPr="00B120F7">
        <w:rPr>
          <w:rFonts w:cs="Arial"/>
        </w:rPr>
        <w:tab/>
        <w:t>lead the ‘Safe and Effective’ Ambitions within the NHS Healthcare Quality Strategy for this Board.</w:t>
      </w:r>
      <w:proofErr w:type="gramEnd"/>
      <w:r w:rsidRPr="00B120F7">
        <w:rPr>
          <w:rFonts w:cs="Arial"/>
        </w:rPr>
        <w:t xml:space="preserve"> This builds upon the responsibility to provide assurances to the Board that appropriate structures are in place for effective and safe clinical governance in accordance with MEL(2009)29 and that appropriate action is being taken to address any areas of concern. </w:t>
      </w:r>
    </w:p>
    <w:p w:rsidR="00497CDD" w:rsidRPr="00B120F7" w:rsidRDefault="00497CDD" w:rsidP="00497CDD">
      <w:pPr>
        <w:ind w:left="720" w:hanging="720"/>
        <w:jc w:val="both"/>
        <w:rPr>
          <w:rFonts w:cs="Arial"/>
        </w:rPr>
      </w:pPr>
    </w:p>
    <w:p w:rsidR="00497CDD" w:rsidRPr="00B120F7" w:rsidRDefault="00497CDD" w:rsidP="00497CDD">
      <w:pPr>
        <w:ind w:left="720" w:hanging="720"/>
        <w:jc w:val="both"/>
        <w:rPr>
          <w:rFonts w:cs="Arial"/>
        </w:rPr>
      </w:pPr>
      <w:r w:rsidRPr="00B120F7">
        <w:rPr>
          <w:rFonts w:cs="Arial"/>
        </w:rPr>
        <w:t>1.2</w:t>
      </w:r>
      <w:r w:rsidRPr="00B120F7">
        <w:rPr>
          <w:rFonts w:cs="Arial"/>
        </w:rPr>
        <w:tab/>
      </w:r>
      <w:proofErr w:type="gramStart"/>
      <w:r w:rsidRPr="00B120F7">
        <w:rPr>
          <w:rFonts w:cs="Arial"/>
        </w:rPr>
        <w:t>ensure</w:t>
      </w:r>
      <w:proofErr w:type="gramEnd"/>
      <w:r w:rsidRPr="00B120F7">
        <w:rPr>
          <w:rFonts w:cs="Arial"/>
        </w:rPr>
        <w:t xml:space="preserve"> that appropriate assurance, scrutiny and measures are in place that are subject to review by Health Improvement Scotland as part of the Healthcare Scrutiny Framework. </w:t>
      </w:r>
    </w:p>
    <w:p w:rsidR="00497CDD" w:rsidRPr="00B120F7" w:rsidRDefault="00497CDD" w:rsidP="00497CDD">
      <w:pPr>
        <w:jc w:val="both"/>
        <w:rPr>
          <w:rFonts w:cs="Arial"/>
          <w:b/>
        </w:rPr>
      </w:pPr>
    </w:p>
    <w:p w:rsidR="00497CDD" w:rsidRPr="00B120F7" w:rsidRDefault="00497CDD" w:rsidP="00497CDD">
      <w:pPr>
        <w:numPr>
          <w:ilvl w:val="0"/>
          <w:numId w:val="24"/>
        </w:numPr>
        <w:jc w:val="both"/>
        <w:rPr>
          <w:rFonts w:cs="Arial"/>
          <w:b/>
        </w:rPr>
      </w:pPr>
      <w:r w:rsidRPr="00B120F7">
        <w:rPr>
          <w:rFonts w:cs="Arial"/>
          <w:b/>
        </w:rPr>
        <w:t>Role</w:t>
      </w:r>
    </w:p>
    <w:p w:rsidR="00497CDD" w:rsidRPr="00B120F7" w:rsidRDefault="00497CDD" w:rsidP="00497CDD">
      <w:pPr>
        <w:pStyle w:val="BodyText"/>
        <w:rPr>
          <w:rFonts w:cs="Arial"/>
          <w:b/>
        </w:rPr>
      </w:pPr>
      <w:r w:rsidRPr="00B120F7">
        <w:rPr>
          <w:rFonts w:cs="Arial"/>
        </w:rPr>
        <w:t>The role of the Clinical Governance Committee is to</w:t>
      </w:r>
      <w:r w:rsidRPr="00B120F7">
        <w:rPr>
          <w:rFonts w:cs="Arial"/>
          <w:b/>
        </w:rPr>
        <w:t xml:space="preserve"> </w:t>
      </w:r>
    </w:p>
    <w:p w:rsidR="00497CDD" w:rsidRPr="00B120F7" w:rsidRDefault="00497CDD" w:rsidP="00497CDD">
      <w:pPr>
        <w:pStyle w:val="BodyText"/>
        <w:rPr>
          <w:rFonts w:cs="Arial"/>
          <w:b/>
        </w:rPr>
      </w:pPr>
    </w:p>
    <w:p w:rsidR="00497CDD" w:rsidRPr="00B120F7" w:rsidRDefault="00497CDD" w:rsidP="00497CDD">
      <w:pPr>
        <w:pStyle w:val="BodyText"/>
        <w:ind w:left="720" w:hanging="720"/>
        <w:rPr>
          <w:rFonts w:cs="Arial"/>
          <w:bCs/>
        </w:rPr>
      </w:pPr>
      <w:r w:rsidRPr="00B120F7">
        <w:rPr>
          <w:rFonts w:cs="Arial"/>
        </w:rPr>
        <w:t xml:space="preserve">2.1 </w:t>
      </w:r>
      <w:r w:rsidRPr="00B120F7">
        <w:rPr>
          <w:rFonts w:cs="Arial"/>
        </w:rPr>
        <w:tab/>
        <w:t>provide coordination and leadership to enable effective delivery of the Safe   and Clinical Governance elements within the Healthcare Quality Strategy for NHS Scotland</w:t>
      </w:r>
      <w:r w:rsidRPr="00B120F7">
        <w:rPr>
          <w:rFonts w:cs="Arial"/>
          <w:bCs/>
        </w:rPr>
        <w:t>. The lead role for person centred and patient focus will be taken by the Person Centred and Staff Governance Committee.</w:t>
      </w:r>
    </w:p>
    <w:p w:rsidR="00497CDD" w:rsidRPr="00B120F7" w:rsidRDefault="00497CDD" w:rsidP="00497CDD">
      <w:pPr>
        <w:pStyle w:val="BodyText"/>
        <w:ind w:left="720" w:hanging="720"/>
        <w:rPr>
          <w:rFonts w:cs="Arial"/>
          <w:bCs/>
        </w:rPr>
      </w:pPr>
    </w:p>
    <w:p w:rsidR="00497CDD" w:rsidRPr="00B120F7" w:rsidRDefault="00497CDD" w:rsidP="00497CDD">
      <w:pPr>
        <w:pStyle w:val="BodyText"/>
        <w:ind w:left="720" w:hanging="720"/>
        <w:rPr>
          <w:rFonts w:cs="Arial"/>
          <w:bCs/>
        </w:rPr>
      </w:pPr>
      <w:r w:rsidRPr="00B120F7">
        <w:rPr>
          <w:rFonts w:cs="Arial"/>
          <w:bCs/>
        </w:rPr>
        <w:t>2.2</w:t>
      </w:r>
      <w:r w:rsidRPr="00B120F7">
        <w:rPr>
          <w:rFonts w:cs="Arial"/>
          <w:bCs/>
        </w:rPr>
        <w:tab/>
        <w:t xml:space="preserve">assure the Board that appropriate structures and processes are in place to meet statutory obligations and any other guidance issued by the Scottish Executive and Healthcare Improvement Scotland. </w:t>
      </w:r>
    </w:p>
    <w:p w:rsidR="00497CDD" w:rsidRPr="00B120F7" w:rsidRDefault="00497CDD" w:rsidP="00497CDD">
      <w:pPr>
        <w:pStyle w:val="BodyText"/>
        <w:ind w:left="720" w:hanging="720"/>
        <w:rPr>
          <w:rFonts w:cs="Arial"/>
          <w:bCs/>
        </w:rPr>
      </w:pPr>
    </w:p>
    <w:p w:rsidR="00497CDD" w:rsidRPr="00B120F7" w:rsidRDefault="00497CDD" w:rsidP="00497CDD">
      <w:pPr>
        <w:pStyle w:val="BodyText"/>
        <w:ind w:left="720" w:hanging="720"/>
        <w:rPr>
          <w:rFonts w:cs="Arial"/>
          <w:bCs/>
        </w:rPr>
      </w:pPr>
      <w:r w:rsidRPr="00B120F7">
        <w:rPr>
          <w:rFonts w:cs="Arial"/>
          <w:bCs/>
        </w:rPr>
        <w:t>2.3</w:t>
      </w:r>
      <w:r w:rsidRPr="00B120F7">
        <w:rPr>
          <w:rFonts w:cs="Arial"/>
          <w:bCs/>
        </w:rPr>
        <w:tab/>
        <w:t>Review outcomes of patient care through scrutiny of relevant reports and self assessments</w:t>
      </w:r>
    </w:p>
    <w:p w:rsidR="00497CDD" w:rsidRPr="00B120F7" w:rsidRDefault="00497CDD" w:rsidP="00497CDD">
      <w:pPr>
        <w:pStyle w:val="BodyText"/>
        <w:rPr>
          <w:rFonts w:cs="Arial"/>
          <w:b/>
        </w:rPr>
      </w:pPr>
    </w:p>
    <w:p w:rsidR="00497CDD" w:rsidRPr="00B120F7" w:rsidRDefault="00497CDD" w:rsidP="00497CDD">
      <w:pPr>
        <w:pStyle w:val="BodyText"/>
        <w:numPr>
          <w:ilvl w:val="0"/>
          <w:numId w:val="24"/>
        </w:numPr>
        <w:jc w:val="both"/>
        <w:rPr>
          <w:rFonts w:cs="Arial"/>
        </w:rPr>
      </w:pPr>
      <w:r w:rsidRPr="00B120F7">
        <w:rPr>
          <w:rFonts w:cs="Arial"/>
          <w:b/>
        </w:rPr>
        <w:t xml:space="preserve">Membership </w:t>
      </w:r>
    </w:p>
    <w:p w:rsidR="00497CDD" w:rsidRPr="00B120F7" w:rsidRDefault="00497CDD" w:rsidP="00497CDD">
      <w:pPr>
        <w:pStyle w:val="BodyText"/>
        <w:rPr>
          <w:rFonts w:cs="Arial"/>
        </w:rPr>
      </w:pPr>
    </w:p>
    <w:p w:rsidR="00497CDD" w:rsidRPr="00B120F7" w:rsidRDefault="00497CDD" w:rsidP="00497CDD">
      <w:pPr>
        <w:pStyle w:val="BodyText"/>
        <w:rPr>
          <w:rFonts w:cs="Arial"/>
        </w:rPr>
      </w:pPr>
      <w:r w:rsidRPr="00B120F7">
        <w:rPr>
          <w:rFonts w:cs="Arial"/>
        </w:rPr>
        <w:t>The Committee shall comprise of:</w:t>
      </w:r>
    </w:p>
    <w:p w:rsidR="00497CDD" w:rsidRPr="00B120F7" w:rsidRDefault="00497CDD" w:rsidP="00497CDD">
      <w:pPr>
        <w:jc w:val="both"/>
        <w:rPr>
          <w:rFonts w:cs="Arial"/>
        </w:rPr>
      </w:pPr>
    </w:p>
    <w:p w:rsidR="00497CDD" w:rsidRPr="00B120F7" w:rsidRDefault="00497CDD" w:rsidP="00497CDD">
      <w:pPr>
        <w:numPr>
          <w:ilvl w:val="0"/>
          <w:numId w:val="4"/>
        </w:numPr>
        <w:tabs>
          <w:tab w:val="clear" w:pos="1800"/>
          <w:tab w:val="num" w:pos="1440"/>
        </w:tabs>
        <w:ind w:left="1440"/>
        <w:jc w:val="both"/>
        <w:rPr>
          <w:rFonts w:cs="Arial"/>
        </w:rPr>
      </w:pPr>
      <w:r w:rsidRPr="00B120F7">
        <w:rPr>
          <w:rFonts w:cs="Arial"/>
        </w:rPr>
        <w:t>Four Non-Executive Directors of the Board, one of whom will Chair this Committee:</w:t>
      </w:r>
    </w:p>
    <w:p w:rsidR="00497CDD" w:rsidRPr="00B120F7" w:rsidRDefault="00497CDD" w:rsidP="00497CDD">
      <w:pPr>
        <w:numPr>
          <w:ilvl w:val="1"/>
          <w:numId w:val="4"/>
        </w:numPr>
        <w:tabs>
          <w:tab w:val="clear" w:pos="2160"/>
          <w:tab w:val="num" w:pos="1800"/>
        </w:tabs>
        <w:ind w:left="1800"/>
        <w:jc w:val="both"/>
        <w:rPr>
          <w:rFonts w:cs="Arial"/>
        </w:rPr>
      </w:pPr>
      <w:r w:rsidRPr="00B120F7">
        <w:rPr>
          <w:rFonts w:cs="Arial"/>
        </w:rPr>
        <w:t>Mark MacGregor (chair)</w:t>
      </w:r>
    </w:p>
    <w:p w:rsidR="00497CDD" w:rsidRPr="00B120F7" w:rsidRDefault="00497CDD" w:rsidP="00497CDD">
      <w:pPr>
        <w:numPr>
          <w:ilvl w:val="1"/>
          <w:numId w:val="4"/>
        </w:numPr>
        <w:tabs>
          <w:tab w:val="clear" w:pos="2160"/>
          <w:tab w:val="num" w:pos="1800"/>
        </w:tabs>
        <w:ind w:left="1800"/>
        <w:jc w:val="both"/>
        <w:rPr>
          <w:rFonts w:cs="Arial"/>
        </w:rPr>
      </w:pPr>
      <w:r w:rsidRPr="00B120F7">
        <w:rPr>
          <w:rFonts w:cs="Arial"/>
        </w:rPr>
        <w:t>Maire Whitehead</w:t>
      </w:r>
    </w:p>
    <w:p w:rsidR="00497CDD" w:rsidRPr="00B120F7" w:rsidRDefault="00497CDD" w:rsidP="00497CDD">
      <w:pPr>
        <w:numPr>
          <w:ilvl w:val="1"/>
          <w:numId w:val="4"/>
        </w:numPr>
        <w:tabs>
          <w:tab w:val="clear" w:pos="2160"/>
          <w:tab w:val="num" w:pos="1800"/>
        </w:tabs>
        <w:ind w:left="1800"/>
        <w:jc w:val="both"/>
        <w:rPr>
          <w:rFonts w:cs="Arial"/>
        </w:rPr>
      </w:pPr>
      <w:r w:rsidRPr="00B120F7">
        <w:rPr>
          <w:rFonts w:cs="Arial"/>
        </w:rPr>
        <w:t>Stewart MacKinnon</w:t>
      </w:r>
    </w:p>
    <w:p w:rsidR="00497CDD" w:rsidRPr="00B120F7" w:rsidRDefault="00497CDD" w:rsidP="00497CDD">
      <w:pPr>
        <w:numPr>
          <w:ilvl w:val="1"/>
          <w:numId w:val="4"/>
        </w:numPr>
        <w:tabs>
          <w:tab w:val="clear" w:pos="2160"/>
          <w:tab w:val="num" w:pos="1800"/>
        </w:tabs>
        <w:ind w:left="1800"/>
        <w:jc w:val="both"/>
        <w:rPr>
          <w:rFonts w:cs="Arial"/>
        </w:rPr>
      </w:pPr>
      <w:r w:rsidRPr="00B120F7">
        <w:rPr>
          <w:rFonts w:cs="Arial"/>
        </w:rPr>
        <w:t>Phil Cox</w:t>
      </w:r>
    </w:p>
    <w:p w:rsidR="00497CDD" w:rsidRPr="00B120F7" w:rsidRDefault="00497CDD" w:rsidP="00497CDD">
      <w:pPr>
        <w:jc w:val="both"/>
        <w:rPr>
          <w:rFonts w:cs="Arial"/>
        </w:rPr>
      </w:pPr>
    </w:p>
    <w:p w:rsidR="00497CDD" w:rsidRPr="00B120F7" w:rsidRDefault="00497CDD" w:rsidP="00497CDD">
      <w:pPr>
        <w:jc w:val="both"/>
        <w:rPr>
          <w:rFonts w:cs="Arial"/>
        </w:rPr>
      </w:pPr>
    </w:p>
    <w:p w:rsidR="00497CDD" w:rsidRPr="00B120F7" w:rsidRDefault="00497CDD" w:rsidP="00497CDD">
      <w:pPr>
        <w:jc w:val="both"/>
        <w:rPr>
          <w:rFonts w:cs="Arial"/>
        </w:rPr>
      </w:pPr>
    </w:p>
    <w:p w:rsidR="00497CDD" w:rsidRPr="00B120F7" w:rsidRDefault="00497CDD" w:rsidP="00497CDD">
      <w:pPr>
        <w:jc w:val="both"/>
        <w:rPr>
          <w:rFonts w:cs="Arial"/>
        </w:rPr>
      </w:pPr>
      <w:r w:rsidRPr="00B120F7">
        <w:rPr>
          <w:rFonts w:cs="Arial"/>
        </w:rPr>
        <w:t>The following people should attend the committee:</w:t>
      </w:r>
    </w:p>
    <w:p w:rsidR="00497CDD" w:rsidRPr="00B120F7" w:rsidRDefault="00497CDD" w:rsidP="00497CDD">
      <w:pPr>
        <w:numPr>
          <w:ilvl w:val="1"/>
          <w:numId w:val="25"/>
        </w:numPr>
        <w:jc w:val="both"/>
        <w:rPr>
          <w:rFonts w:cs="Arial"/>
        </w:rPr>
      </w:pPr>
      <w:r w:rsidRPr="00B120F7">
        <w:rPr>
          <w:rFonts w:cs="Arial"/>
        </w:rPr>
        <w:t xml:space="preserve">Dr Mike Higgins, Medical Director. </w:t>
      </w:r>
    </w:p>
    <w:p w:rsidR="00497CDD" w:rsidRPr="00B120F7" w:rsidRDefault="00497CDD" w:rsidP="00497CDD">
      <w:pPr>
        <w:numPr>
          <w:ilvl w:val="1"/>
          <w:numId w:val="25"/>
        </w:numPr>
        <w:jc w:val="both"/>
        <w:rPr>
          <w:rFonts w:cs="Arial"/>
        </w:rPr>
      </w:pPr>
      <w:r w:rsidRPr="00B120F7">
        <w:rPr>
          <w:rFonts w:cs="Arial"/>
        </w:rPr>
        <w:t xml:space="preserve">Anne Marie Cavanagh, Nurse Director </w:t>
      </w:r>
    </w:p>
    <w:p w:rsidR="00497CDD" w:rsidRPr="00B120F7" w:rsidRDefault="00497CDD" w:rsidP="00497CDD">
      <w:pPr>
        <w:numPr>
          <w:ilvl w:val="1"/>
          <w:numId w:val="25"/>
        </w:numPr>
        <w:jc w:val="both"/>
        <w:rPr>
          <w:rFonts w:cs="Arial"/>
        </w:rPr>
      </w:pPr>
      <w:r w:rsidRPr="00B120F7">
        <w:rPr>
          <w:rFonts w:cs="Arial"/>
        </w:rPr>
        <w:t>Laura Langan Riach, Head of Clinical Governance</w:t>
      </w:r>
    </w:p>
    <w:p w:rsidR="00497CDD" w:rsidRPr="00B120F7" w:rsidRDefault="00497CDD" w:rsidP="00497CDD">
      <w:pPr>
        <w:numPr>
          <w:ilvl w:val="1"/>
          <w:numId w:val="25"/>
        </w:numPr>
        <w:jc w:val="both"/>
        <w:rPr>
          <w:rFonts w:cs="Arial"/>
        </w:rPr>
      </w:pPr>
      <w:r w:rsidRPr="00B120F7">
        <w:rPr>
          <w:rFonts w:cs="Arial"/>
        </w:rPr>
        <w:t>Jill Young, Chief Executive</w:t>
      </w:r>
    </w:p>
    <w:p w:rsidR="00497CDD" w:rsidRPr="00B120F7" w:rsidRDefault="00497CDD" w:rsidP="00497CDD">
      <w:pPr>
        <w:jc w:val="both"/>
        <w:rPr>
          <w:rFonts w:cs="Arial"/>
        </w:rPr>
      </w:pPr>
    </w:p>
    <w:p w:rsidR="00497CDD" w:rsidRPr="00B120F7" w:rsidRDefault="00497CDD" w:rsidP="00497CDD">
      <w:pPr>
        <w:jc w:val="both"/>
        <w:rPr>
          <w:rFonts w:cs="Arial"/>
        </w:rPr>
      </w:pPr>
      <w:r w:rsidRPr="00B120F7">
        <w:rPr>
          <w:rFonts w:cs="Arial"/>
        </w:rPr>
        <w:t>The following people may attend the committee:</w:t>
      </w:r>
    </w:p>
    <w:p w:rsidR="00497CDD" w:rsidRPr="00B120F7" w:rsidRDefault="00497CDD" w:rsidP="00497CDD">
      <w:pPr>
        <w:numPr>
          <w:ilvl w:val="1"/>
          <w:numId w:val="26"/>
        </w:numPr>
        <w:jc w:val="both"/>
        <w:rPr>
          <w:rFonts w:cs="Arial"/>
        </w:rPr>
      </w:pPr>
      <w:r w:rsidRPr="00B120F7">
        <w:rPr>
          <w:rFonts w:cs="Arial"/>
        </w:rPr>
        <w:t>Board Chair</w:t>
      </w:r>
    </w:p>
    <w:p w:rsidR="00497CDD" w:rsidRPr="00B120F7" w:rsidRDefault="00497CDD" w:rsidP="00497CDD">
      <w:pPr>
        <w:numPr>
          <w:ilvl w:val="1"/>
          <w:numId w:val="26"/>
        </w:numPr>
        <w:jc w:val="both"/>
        <w:rPr>
          <w:rFonts w:cs="Arial"/>
        </w:rPr>
      </w:pPr>
      <w:r w:rsidRPr="00B120F7">
        <w:rPr>
          <w:rFonts w:cs="Arial"/>
        </w:rPr>
        <w:t xml:space="preserve">Employee Director </w:t>
      </w:r>
    </w:p>
    <w:p w:rsidR="00497CDD" w:rsidRPr="00B120F7" w:rsidRDefault="00497CDD" w:rsidP="00497CDD">
      <w:pPr>
        <w:numPr>
          <w:ilvl w:val="1"/>
          <w:numId w:val="26"/>
        </w:numPr>
        <w:jc w:val="both"/>
        <w:rPr>
          <w:rFonts w:cs="Arial"/>
        </w:rPr>
      </w:pPr>
      <w:r w:rsidRPr="00B120F7">
        <w:rPr>
          <w:rFonts w:cs="Arial"/>
        </w:rPr>
        <w:t>Director of Quality, Innovation &amp; People</w:t>
      </w:r>
    </w:p>
    <w:p w:rsidR="00497CDD" w:rsidRPr="00B120F7" w:rsidRDefault="00497CDD" w:rsidP="00497CDD">
      <w:pPr>
        <w:numPr>
          <w:ilvl w:val="1"/>
          <w:numId w:val="26"/>
        </w:numPr>
        <w:jc w:val="both"/>
        <w:rPr>
          <w:rFonts w:cs="Arial"/>
        </w:rPr>
      </w:pPr>
      <w:r w:rsidRPr="00B120F7">
        <w:rPr>
          <w:rFonts w:cs="Arial"/>
        </w:rPr>
        <w:t xml:space="preserve">Chairs of Divisional Clinical Governance Groups  </w:t>
      </w:r>
    </w:p>
    <w:p w:rsidR="00497CDD" w:rsidRPr="00B120F7" w:rsidRDefault="00497CDD" w:rsidP="00497CDD">
      <w:pPr>
        <w:jc w:val="both"/>
        <w:rPr>
          <w:rFonts w:cs="Arial"/>
        </w:rPr>
      </w:pPr>
    </w:p>
    <w:p w:rsidR="00497CDD" w:rsidRPr="00B120F7" w:rsidRDefault="00497CDD" w:rsidP="00497CDD">
      <w:pPr>
        <w:jc w:val="both"/>
        <w:rPr>
          <w:rFonts w:cs="Arial"/>
        </w:rPr>
      </w:pPr>
      <w:r w:rsidRPr="00B120F7">
        <w:rPr>
          <w:rFonts w:cs="Arial"/>
        </w:rPr>
        <w:t>Invitations to meetings may include clinicians and infection control manager to discuss specific issues.  Clinicians with responsibility for Clinical Governance may be invited to attend as observers.</w:t>
      </w:r>
    </w:p>
    <w:p w:rsidR="00497CDD" w:rsidRPr="00B120F7" w:rsidRDefault="00497CDD" w:rsidP="00497CDD">
      <w:pPr>
        <w:jc w:val="both"/>
        <w:rPr>
          <w:rFonts w:cs="Arial"/>
        </w:rPr>
      </w:pPr>
    </w:p>
    <w:p w:rsidR="00497CDD" w:rsidRPr="00B120F7" w:rsidRDefault="00497CDD" w:rsidP="00497CDD">
      <w:pPr>
        <w:jc w:val="both"/>
        <w:rPr>
          <w:rFonts w:cs="Arial"/>
        </w:rPr>
      </w:pPr>
      <w:r w:rsidRPr="00B120F7">
        <w:rPr>
          <w:rFonts w:cs="Arial"/>
        </w:rPr>
        <w:t xml:space="preserve">Stewart McKinnon, Non Executive Director was appointed as Interim Board Chair in March 2016.  As noted Stewart is also a member of this committee; it has been agreed that the membership of the CGC will not be revised on the basis of the interim arrangements and we will await the outcome of the formal appointment process before making any further changes.  </w:t>
      </w:r>
    </w:p>
    <w:p w:rsidR="00497CDD" w:rsidRPr="00B120F7" w:rsidRDefault="00497CDD" w:rsidP="00497CDD">
      <w:pPr>
        <w:jc w:val="both"/>
        <w:rPr>
          <w:rFonts w:cs="Arial"/>
          <w:b/>
        </w:rPr>
      </w:pPr>
    </w:p>
    <w:p w:rsidR="00497CDD" w:rsidRPr="00B120F7" w:rsidRDefault="00497CDD" w:rsidP="00497CDD">
      <w:pPr>
        <w:jc w:val="both"/>
        <w:rPr>
          <w:rFonts w:cs="Arial"/>
          <w:b/>
        </w:rPr>
      </w:pPr>
      <w:r w:rsidRPr="00B120F7">
        <w:rPr>
          <w:rFonts w:cs="Arial"/>
          <w:b/>
        </w:rPr>
        <w:t>3.1   Executive Director Lead</w:t>
      </w:r>
    </w:p>
    <w:p w:rsidR="00497CDD" w:rsidRPr="00B120F7" w:rsidRDefault="00497CDD" w:rsidP="00497CDD">
      <w:pPr>
        <w:pStyle w:val="Subtitle"/>
        <w:jc w:val="left"/>
        <w:rPr>
          <w:rFonts w:cs="Arial"/>
          <w:b w:val="0"/>
          <w:szCs w:val="24"/>
        </w:rPr>
      </w:pPr>
      <w:r w:rsidRPr="00B120F7">
        <w:rPr>
          <w:rFonts w:cs="Arial"/>
          <w:b w:val="0"/>
          <w:szCs w:val="24"/>
        </w:rPr>
        <w:t>The Designated Executive Lead will support the Chair of the Committee in ensuring that the Committee operates according to /in fulfilment of its agreed Terms of Reference.  The named Executive Lead for the Committee is the Medical Director.  Specifically they will:</w:t>
      </w:r>
    </w:p>
    <w:p w:rsidR="00497CDD" w:rsidRPr="00B120F7" w:rsidRDefault="00497CDD" w:rsidP="00497CDD">
      <w:pPr>
        <w:pStyle w:val="Subtitle"/>
        <w:rPr>
          <w:rFonts w:cs="Arial"/>
          <w:b w:val="0"/>
          <w:szCs w:val="24"/>
        </w:rPr>
      </w:pP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Support the Chair in ensuring that the Committee remit is based on the latest guidance and relevant legislation, and the Board’s best value framework;</w:t>
      </w: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Liaise with the Chair in agreeing a programme of meetings for the business year, as required by its remit;</w:t>
      </w: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Oversee the development of the annual schedule of reports for the Committee which is congruent with its remit and the need to provide appropriate assurance at the year-end, for the endorsement of the Committee and approval by the Board;</w:t>
      </w: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Agree with the Chair an agenda for each meeting, having regard to the Committee’s remit and schedule of reports;</w:t>
      </w: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Lead a mid-year review of the Committee Terms of Reference and progress against the annual plan, as part of the process to ensure that the plan is fulfilled; and</w:t>
      </w:r>
    </w:p>
    <w:p w:rsidR="00497CDD" w:rsidRPr="00B120F7" w:rsidRDefault="00497CDD" w:rsidP="00497CDD">
      <w:pPr>
        <w:pStyle w:val="Subtitle"/>
        <w:numPr>
          <w:ilvl w:val="0"/>
          <w:numId w:val="10"/>
        </w:numPr>
        <w:jc w:val="left"/>
        <w:rPr>
          <w:rFonts w:cs="Arial"/>
          <w:b w:val="0"/>
          <w:szCs w:val="24"/>
        </w:rPr>
      </w:pPr>
      <w:r w:rsidRPr="00B120F7">
        <w:rPr>
          <w:rFonts w:cs="Arial"/>
          <w:b w:val="0"/>
          <w:szCs w:val="24"/>
        </w:rPr>
        <w:t>Oversee the production of an annual report on the delivery of the Committee’s remit activity plan and reports, for endorsement by the Committee and submission to the Board.</w:t>
      </w:r>
    </w:p>
    <w:p w:rsidR="00497CDD" w:rsidRPr="00B120F7" w:rsidRDefault="00497CDD" w:rsidP="00497CDD">
      <w:pPr>
        <w:jc w:val="both"/>
        <w:rPr>
          <w:rFonts w:cs="Arial"/>
        </w:rPr>
      </w:pPr>
    </w:p>
    <w:p w:rsidR="00497CDD" w:rsidRPr="00B120F7" w:rsidRDefault="00497CDD" w:rsidP="00497CDD">
      <w:pPr>
        <w:jc w:val="both"/>
        <w:rPr>
          <w:rFonts w:cs="Arial"/>
          <w:b/>
        </w:rPr>
      </w:pPr>
      <w:r w:rsidRPr="00B120F7">
        <w:rPr>
          <w:rFonts w:cs="Arial"/>
          <w:b/>
        </w:rPr>
        <w:t>4    Quorum</w:t>
      </w:r>
    </w:p>
    <w:p w:rsidR="00497CDD" w:rsidRPr="00B120F7" w:rsidRDefault="00497CDD" w:rsidP="00497CDD">
      <w:pPr>
        <w:jc w:val="both"/>
        <w:rPr>
          <w:rFonts w:cs="Arial"/>
        </w:rPr>
      </w:pPr>
      <w:r w:rsidRPr="00B120F7">
        <w:rPr>
          <w:rFonts w:cs="Arial"/>
        </w:rPr>
        <w:t>A quorum will consist of three non-executive directors.</w:t>
      </w:r>
    </w:p>
    <w:p w:rsidR="00497CDD" w:rsidRPr="00B120F7" w:rsidRDefault="00497CDD" w:rsidP="00497CDD">
      <w:pPr>
        <w:jc w:val="both"/>
        <w:rPr>
          <w:rFonts w:cs="Arial"/>
        </w:rPr>
      </w:pPr>
    </w:p>
    <w:p w:rsidR="00497CDD" w:rsidRPr="00B120F7" w:rsidRDefault="00497CDD" w:rsidP="00497CDD">
      <w:pPr>
        <w:jc w:val="both"/>
        <w:rPr>
          <w:rFonts w:cs="Arial"/>
        </w:rPr>
      </w:pPr>
      <w:r w:rsidRPr="00B120F7">
        <w:rPr>
          <w:rFonts w:cs="Arial"/>
          <w:b/>
        </w:rPr>
        <w:t>5 Conduct of Business</w:t>
      </w:r>
    </w:p>
    <w:p w:rsidR="00497CDD" w:rsidRPr="00B120F7" w:rsidRDefault="00497CDD" w:rsidP="00497CDD">
      <w:pPr>
        <w:jc w:val="both"/>
        <w:rPr>
          <w:rFonts w:cs="Arial"/>
        </w:rPr>
      </w:pPr>
    </w:p>
    <w:p w:rsidR="00497CDD" w:rsidRPr="00B120F7" w:rsidRDefault="00497CDD" w:rsidP="00497CDD">
      <w:pPr>
        <w:numPr>
          <w:ilvl w:val="0"/>
          <w:numId w:val="27"/>
        </w:numPr>
        <w:jc w:val="both"/>
        <w:rPr>
          <w:rFonts w:cs="Arial"/>
        </w:rPr>
      </w:pPr>
      <w:r w:rsidRPr="00B120F7">
        <w:rPr>
          <w:rFonts w:cs="Arial"/>
        </w:rPr>
        <w:t>The Committee shall meet at least four times a year.</w:t>
      </w:r>
    </w:p>
    <w:p w:rsidR="00497CDD" w:rsidRPr="00B120F7" w:rsidRDefault="00497CDD" w:rsidP="00497CDD">
      <w:pPr>
        <w:jc w:val="both"/>
        <w:rPr>
          <w:rFonts w:cs="Arial"/>
        </w:rPr>
      </w:pPr>
    </w:p>
    <w:p w:rsidR="00497CDD" w:rsidRPr="00B120F7" w:rsidRDefault="00497CDD" w:rsidP="00497CDD">
      <w:pPr>
        <w:numPr>
          <w:ilvl w:val="0"/>
          <w:numId w:val="27"/>
        </w:numPr>
        <w:rPr>
          <w:rFonts w:cs="Arial"/>
        </w:rPr>
      </w:pPr>
      <w:r w:rsidRPr="00B120F7">
        <w:rPr>
          <w:rFonts w:cs="Arial"/>
        </w:rPr>
        <w:t>The conduct of business will be in accordance with the Board’s Standing Orders.</w:t>
      </w:r>
    </w:p>
    <w:p w:rsidR="00497CDD" w:rsidRPr="00B120F7" w:rsidRDefault="00497CDD" w:rsidP="00497CDD">
      <w:pPr>
        <w:jc w:val="both"/>
        <w:rPr>
          <w:rFonts w:cs="Arial"/>
        </w:rPr>
      </w:pPr>
    </w:p>
    <w:p w:rsidR="00497CDD" w:rsidRPr="00B120F7" w:rsidRDefault="00497CDD" w:rsidP="00497CDD">
      <w:pPr>
        <w:numPr>
          <w:ilvl w:val="0"/>
          <w:numId w:val="27"/>
        </w:numPr>
        <w:jc w:val="both"/>
        <w:rPr>
          <w:rFonts w:cs="Arial"/>
        </w:rPr>
      </w:pPr>
      <w:r w:rsidRPr="00B120F7">
        <w:rPr>
          <w:rFonts w:cs="Arial"/>
        </w:rPr>
        <w:lastRenderedPageBreak/>
        <w:t xml:space="preserve">Prior to the full approved Minutes of the Committee being available,     a template covering the main points of discussion will be shared at the next available Board meeting.   The full Minutes of this Committee will be reported to the NWTC Board. </w:t>
      </w:r>
    </w:p>
    <w:p w:rsidR="00497CDD" w:rsidRPr="00B120F7" w:rsidRDefault="00497CDD" w:rsidP="00497CDD">
      <w:pPr>
        <w:jc w:val="both"/>
        <w:rPr>
          <w:rFonts w:cs="Arial"/>
        </w:rPr>
      </w:pPr>
    </w:p>
    <w:p w:rsidR="00497CDD" w:rsidRPr="00B120F7" w:rsidRDefault="00497CDD" w:rsidP="00497CDD">
      <w:pPr>
        <w:numPr>
          <w:ilvl w:val="0"/>
          <w:numId w:val="27"/>
        </w:numPr>
        <w:jc w:val="both"/>
        <w:rPr>
          <w:rFonts w:cs="Arial"/>
        </w:rPr>
      </w:pPr>
      <w:r w:rsidRPr="00B120F7">
        <w:rPr>
          <w:rFonts w:cs="Arial"/>
        </w:rPr>
        <w:t>Reports to the Board will be required to have a standard cover sheet clarifying whether the report is being presented for information, for discussion or for approval.  Papers are required to be circulated within 5 working days prior to the Committee taking place.</w:t>
      </w:r>
    </w:p>
    <w:p w:rsidR="00497CDD" w:rsidRPr="00B120F7" w:rsidRDefault="00497CDD" w:rsidP="00497CDD">
      <w:pPr>
        <w:jc w:val="both"/>
        <w:rPr>
          <w:rFonts w:cs="Arial"/>
        </w:rPr>
      </w:pPr>
    </w:p>
    <w:p w:rsidR="00497CDD" w:rsidRPr="00B120F7" w:rsidRDefault="00497CDD" w:rsidP="00497CDD">
      <w:pPr>
        <w:numPr>
          <w:ilvl w:val="0"/>
          <w:numId w:val="27"/>
        </w:numPr>
        <w:jc w:val="both"/>
        <w:rPr>
          <w:rFonts w:cs="Arial"/>
        </w:rPr>
      </w:pPr>
      <w:r w:rsidRPr="00B120F7">
        <w:rPr>
          <w:rFonts w:cs="Arial"/>
        </w:rPr>
        <w:t xml:space="preserve">There will be a requirement to produce an Annual Report at the end of each financial year. </w:t>
      </w:r>
    </w:p>
    <w:p w:rsidR="00497CDD" w:rsidRPr="00B120F7" w:rsidRDefault="00497CDD" w:rsidP="00497CDD">
      <w:pPr>
        <w:jc w:val="both"/>
        <w:rPr>
          <w:rFonts w:cs="Arial"/>
          <w:b/>
        </w:rPr>
      </w:pPr>
    </w:p>
    <w:p w:rsidR="00497CDD" w:rsidRPr="00B120F7" w:rsidRDefault="00497CDD" w:rsidP="00497CDD">
      <w:pPr>
        <w:jc w:val="both"/>
        <w:rPr>
          <w:rFonts w:cs="Arial"/>
          <w:b/>
        </w:rPr>
      </w:pPr>
      <w:r w:rsidRPr="00B120F7">
        <w:rPr>
          <w:rFonts w:cs="Arial"/>
          <w:b/>
        </w:rPr>
        <w:t>6    Framework Agenda</w:t>
      </w:r>
    </w:p>
    <w:p w:rsidR="00497CDD" w:rsidRPr="00B120F7" w:rsidRDefault="00497CDD" w:rsidP="00497CDD">
      <w:pPr>
        <w:jc w:val="both"/>
        <w:rPr>
          <w:rFonts w:cs="Arial"/>
        </w:rPr>
      </w:pPr>
      <w:r w:rsidRPr="00B120F7">
        <w:rPr>
          <w:rFonts w:cs="Arial"/>
        </w:rPr>
        <w:t>The framework for the Committee for NWTC Board will be scheduled as part of a forward monitoring plan and will include the following:</w:t>
      </w:r>
    </w:p>
    <w:p w:rsidR="00497CDD" w:rsidRPr="00B120F7" w:rsidRDefault="00497CDD" w:rsidP="00497CDD">
      <w:pPr>
        <w:ind w:left="360"/>
        <w:jc w:val="both"/>
        <w:rPr>
          <w:rFonts w:cs="Arial"/>
          <w:u w:val="single"/>
        </w:rPr>
      </w:pPr>
    </w:p>
    <w:p w:rsidR="00497CDD" w:rsidRPr="00B120F7" w:rsidRDefault="00497CDD" w:rsidP="00497CDD">
      <w:pPr>
        <w:numPr>
          <w:ilvl w:val="0"/>
          <w:numId w:val="28"/>
        </w:numPr>
        <w:rPr>
          <w:rFonts w:cs="Arial"/>
        </w:rPr>
      </w:pPr>
      <w:r w:rsidRPr="00B120F7">
        <w:rPr>
          <w:rFonts w:cs="Arial"/>
        </w:rPr>
        <w:t>Clinical Risk Management</w:t>
      </w:r>
    </w:p>
    <w:p w:rsidR="00497CDD" w:rsidRPr="00B120F7" w:rsidRDefault="00497CDD" w:rsidP="00497CDD">
      <w:pPr>
        <w:numPr>
          <w:ilvl w:val="0"/>
          <w:numId w:val="28"/>
        </w:numPr>
        <w:rPr>
          <w:rFonts w:cs="Arial"/>
        </w:rPr>
      </w:pPr>
      <w:r w:rsidRPr="00B120F7">
        <w:rPr>
          <w:rFonts w:cs="Arial"/>
        </w:rPr>
        <w:t>Adverse Incident Reporting and Response</w:t>
      </w:r>
    </w:p>
    <w:p w:rsidR="00497CDD" w:rsidRPr="00B120F7" w:rsidRDefault="00497CDD" w:rsidP="00497CDD">
      <w:pPr>
        <w:numPr>
          <w:ilvl w:val="0"/>
          <w:numId w:val="28"/>
        </w:numPr>
        <w:rPr>
          <w:rFonts w:cs="Arial"/>
        </w:rPr>
      </w:pPr>
      <w:r w:rsidRPr="00B120F7">
        <w:rPr>
          <w:rFonts w:cs="Arial"/>
        </w:rPr>
        <w:t>Control of infection / decontamination / management of healthcare environment procedures</w:t>
      </w:r>
    </w:p>
    <w:p w:rsidR="00497CDD" w:rsidRPr="00B120F7" w:rsidRDefault="00497CDD" w:rsidP="00497CDD">
      <w:pPr>
        <w:numPr>
          <w:ilvl w:val="0"/>
          <w:numId w:val="28"/>
        </w:numPr>
        <w:rPr>
          <w:rFonts w:cs="Arial"/>
        </w:rPr>
      </w:pPr>
      <w:r w:rsidRPr="00B120F7">
        <w:rPr>
          <w:rFonts w:cs="Arial"/>
        </w:rPr>
        <w:t>Monitoring and improving practice to provide Quality Assurance</w:t>
      </w:r>
    </w:p>
    <w:p w:rsidR="00497CDD" w:rsidRPr="00B120F7" w:rsidRDefault="00497CDD" w:rsidP="00497CDD">
      <w:pPr>
        <w:numPr>
          <w:ilvl w:val="0"/>
          <w:numId w:val="28"/>
        </w:numPr>
        <w:rPr>
          <w:rFonts w:cs="Arial"/>
        </w:rPr>
      </w:pPr>
      <w:r w:rsidRPr="00B120F7">
        <w:rPr>
          <w:rFonts w:cs="Arial"/>
        </w:rPr>
        <w:t>Handling of complaints</w:t>
      </w:r>
    </w:p>
    <w:p w:rsidR="00497CDD" w:rsidRPr="00B120F7" w:rsidRDefault="00497CDD" w:rsidP="00497CDD">
      <w:pPr>
        <w:numPr>
          <w:ilvl w:val="0"/>
          <w:numId w:val="28"/>
        </w:numPr>
        <w:rPr>
          <w:rFonts w:cs="Arial"/>
        </w:rPr>
      </w:pPr>
      <w:r w:rsidRPr="00B120F7">
        <w:rPr>
          <w:rFonts w:cs="Arial"/>
        </w:rPr>
        <w:t>Drugs and therapeutics issues</w:t>
      </w:r>
    </w:p>
    <w:p w:rsidR="00497CDD" w:rsidRPr="00B120F7" w:rsidRDefault="00497CDD" w:rsidP="00497CDD">
      <w:pPr>
        <w:numPr>
          <w:ilvl w:val="0"/>
          <w:numId w:val="28"/>
        </w:numPr>
        <w:rPr>
          <w:rFonts w:cs="Arial"/>
        </w:rPr>
      </w:pPr>
      <w:r w:rsidRPr="00B120F7">
        <w:rPr>
          <w:rFonts w:cs="Arial"/>
        </w:rPr>
        <w:t>Clinical records</w:t>
      </w:r>
    </w:p>
    <w:p w:rsidR="00497CDD" w:rsidRPr="00B120F7" w:rsidRDefault="00497CDD" w:rsidP="00497CDD">
      <w:pPr>
        <w:numPr>
          <w:ilvl w:val="0"/>
          <w:numId w:val="28"/>
        </w:numPr>
        <w:rPr>
          <w:rFonts w:cs="Arial"/>
        </w:rPr>
      </w:pPr>
      <w:r w:rsidRPr="00B120F7">
        <w:rPr>
          <w:rFonts w:cs="Arial"/>
        </w:rPr>
        <w:t>Clinical audit plan</w:t>
      </w:r>
    </w:p>
    <w:p w:rsidR="00497CDD" w:rsidRPr="00B120F7" w:rsidRDefault="00497CDD" w:rsidP="00497CDD">
      <w:pPr>
        <w:numPr>
          <w:ilvl w:val="0"/>
          <w:numId w:val="28"/>
        </w:numPr>
        <w:rPr>
          <w:rFonts w:cs="Arial"/>
        </w:rPr>
      </w:pPr>
      <w:r w:rsidRPr="00B120F7">
        <w:rPr>
          <w:rFonts w:cs="Arial"/>
        </w:rPr>
        <w:t>Service provision, organisation and redesign</w:t>
      </w:r>
    </w:p>
    <w:p w:rsidR="00497CDD" w:rsidRPr="00B120F7" w:rsidRDefault="00497CDD" w:rsidP="00497CDD">
      <w:pPr>
        <w:numPr>
          <w:ilvl w:val="0"/>
          <w:numId w:val="28"/>
        </w:numPr>
        <w:rPr>
          <w:rFonts w:cs="Arial"/>
        </w:rPr>
      </w:pPr>
      <w:r w:rsidRPr="00B120F7">
        <w:rPr>
          <w:rFonts w:cs="Arial"/>
        </w:rPr>
        <w:t xml:space="preserve">Clinical and </w:t>
      </w:r>
      <w:proofErr w:type="spellStart"/>
      <w:r w:rsidRPr="00B120F7">
        <w:rPr>
          <w:rFonts w:cs="Arial"/>
        </w:rPr>
        <w:t>ehealth</w:t>
      </w:r>
      <w:proofErr w:type="spellEnd"/>
      <w:r w:rsidRPr="00B120F7">
        <w:rPr>
          <w:rFonts w:cs="Arial"/>
        </w:rPr>
        <w:t xml:space="preserve"> Information management – </w:t>
      </w:r>
    </w:p>
    <w:p w:rsidR="00497CDD" w:rsidRPr="00B120F7" w:rsidRDefault="00497CDD" w:rsidP="00497CDD">
      <w:pPr>
        <w:numPr>
          <w:ilvl w:val="0"/>
          <w:numId w:val="28"/>
        </w:numPr>
        <w:jc w:val="both"/>
        <w:rPr>
          <w:rFonts w:cs="Arial"/>
        </w:rPr>
      </w:pPr>
      <w:r w:rsidRPr="00B120F7">
        <w:rPr>
          <w:rFonts w:cs="Arial"/>
        </w:rPr>
        <w:t>Monitoring the implementation of appropriate National Guidelines and Standards</w:t>
      </w:r>
    </w:p>
    <w:p w:rsidR="00497CDD" w:rsidRPr="00B120F7" w:rsidRDefault="00497CDD" w:rsidP="00497CDD">
      <w:pPr>
        <w:numPr>
          <w:ilvl w:val="0"/>
          <w:numId w:val="28"/>
        </w:numPr>
        <w:jc w:val="both"/>
        <w:rPr>
          <w:rFonts w:cs="Arial"/>
        </w:rPr>
      </w:pPr>
      <w:r w:rsidRPr="00B120F7">
        <w:rPr>
          <w:rFonts w:cs="Arial"/>
        </w:rPr>
        <w:t xml:space="preserve">Monitoring of Scottish Patient Safety Programme implementation </w:t>
      </w:r>
    </w:p>
    <w:p w:rsidR="00497CDD" w:rsidRPr="00B120F7" w:rsidRDefault="00497CDD" w:rsidP="00497CDD">
      <w:pPr>
        <w:tabs>
          <w:tab w:val="num" w:pos="567"/>
        </w:tabs>
        <w:jc w:val="both"/>
        <w:rPr>
          <w:rFonts w:cs="Arial"/>
        </w:rPr>
      </w:pPr>
    </w:p>
    <w:p w:rsidR="00497CDD" w:rsidRPr="00B120F7" w:rsidRDefault="00497CDD" w:rsidP="00497CDD">
      <w:pPr>
        <w:jc w:val="both"/>
        <w:rPr>
          <w:rFonts w:cs="Arial"/>
        </w:rPr>
      </w:pPr>
      <w:r w:rsidRPr="00B120F7">
        <w:rPr>
          <w:rFonts w:cs="Arial"/>
        </w:rPr>
        <w:t>The Committee is authorised by the NWTC Board to investigate any activity within its Terms of Reference and conduct investigations within agreed procedures.</w:t>
      </w:r>
    </w:p>
    <w:p w:rsidR="00497CDD" w:rsidRPr="00B120F7" w:rsidRDefault="00497CDD" w:rsidP="00497CDD">
      <w:pPr>
        <w:ind w:left="360"/>
        <w:jc w:val="both"/>
        <w:rPr>
          <w:rFonts w:cs="Arial"/>
        </w:rPr>
      </w:pPr>
    </w:p>
    <w:p w:rsidR="00497CDD" w:rsidRPr="00B120F7" w:rsidRDefault="00497CDD" w:rsidP="00497CDD">
      <w:pPr>
        <w:jc w:val="both"/>
        <w:rPr>
          <w:rFonts w:cs="Arial"/>
          <w:b/>
        </w:rPr>
      </w:pPr>
      <w:r w:rsidRPr="00B120F7">
        <w:rPr>
          <w:rFonts w:cs="Arial"/>
          <w:b/>
        </w:rPr>
        <w:t>7   Responsibilities and Remit of the Clinical Governance Committee:</w:t>
      </w:r>
    </w:p>
    <w:p w:rsidR="00497CDD" w:rsidRPr="00B120F7" w:rsidRDefault="00497CDD" w:rsidP="00497CDD">
      <w:pPr>
        <w:pStyle w:val="Header"/>
        <w:tabs>
          <w:tab w:val="clear" w:pos="4153"/>
          <w:tab w:val="clear" w:pos="8306"/>
        </w:tabs>
        <w:jc w:val="both"/>
        <w:rPr>
          <w:rFonts w:cs="Arial"/>
          <w:szCs w:val="24"/>
        </w:rPr>
      </w:pPr>
      <w:r w:rsidRPr="00B120F7">
        <w:rPr>
          <w:rFonts w:cs="Arial"/>
          <w:szCs w:val="24"/>
        </w:rPr>
        <w:t>The Committee will:</w:t>
      </w:r>
    </w:p>
    <w:p w:rsidR="00497CDD" w:rsidRPr="00B120F7" w:rsidRDefault="00497CDD" w:rsidP="00497CDD">
      <w:pPr>
        <w:pStyle w:val="Header"/>
        <w:tabs>
          <w:tab w:val="clear" w:pos="4153"/>
          <w:tab w:val="clear" w:pos="8306"/>
        </w:tabs>
        <w:jc w:val="both"/>
        <w:rPr>
          <w:rFonts w:cs="Arial"/>
          <w:szCs w:val="24"/>
        </w:rPr>
      </w:pPr>
    </w:p>
    <w:p w:rsidR="00497CDD" w:rsidRDefault="00497CDD" w:rsidP="00497CDD">
      <w:pPr>
        <w:jc w:val="both"/>
        <w:rPr>
          <w:rFonts w:cs="Arial"/>
        </w:rPr>
      </w:pPr>
      <w:r w:rsidRPr="00B120F7">
        <w:rPr>
          <w:rFonts w:cs="Arial"/>
        </w:rPr>
        <w:t>Ensure the Board has mechanisms in place in respect of all relevant legislation and policy relating to the provision of safe and effective clinical care:</w:t>
      </w:r>
    </w:p>
    <w:p w:rsidR="00497CDD" w:rsidRPr="00B120F7" w:rsidRDefault="00497CDD" w:rsidP="00497CDD">
      <w:pPr>
        <w:jc w:val="both"/>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t>As part of the Healthcare Scrutiny Framework ensure an appropriate framework is in place where delivery against the Board’s Quality Risk Profile is being achieved;</w:t>
      </w:r>
    </w:p>
    <w:p w:rsidR="00497CDD" w:rsidRPr="00B120F7" w:rsidRDefault="00497CDD" w:rsidP="00497CDD">
      <w:pPr>
        <w:autoSpaceDE w:val="0"/>
        <w:autoSpaceDN w:val="0"/>
        <w:adjustRightInd w:val="0"/>
        <w:ind w:left="360"/>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t>monitor and evaluate reports, strategies and implementation plans relating to safe and effective care e.g. Harm Free Care programmes and prevention of Hospital Acquired Infection</w:t>
      </w:r>
    </w:p>
    <w:p w:rsidR="00497CDD" w:rsidRPr="00B120F7" w:rsidRDefault="00497CDD" w:rsidP="00497CDD">
      <w:pPr>
        <w:autoSpaceDE w:val="0"/>
        <w:autoSpaceDN w:val="0"/>
        <w:adjustRightInd w:val="0"/>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t>ensure a robust system is in place for the timely submission of all clinical governance information required for national monitoring arrangements e.g. Clinical Care Self-assessments</w:t>
      </w:r>
    </w:p>
    <w:p w:rsidR="00497CDD" w:rsidRPr="00B120F7" w:rsidRDefault="00497CDD" w:rsidP="00497CDD">
      <w:pPr>
        <w:autoSpaceDE w:val="0"/>
        <w:autoSpaceDN w:val="0"/>
        <w:adjustRightInd w:val="0"/>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t>review and agree the clinical audit work plan</w:t>
      </w:r>
    </w:p>
    <w:p w:rsidR="00497CDD" w:rsidRPr="00B120F7" w:rsidRDefault="00497CDD" w:rsidP="00497CDD">
      <w:pPr>
        <w:autoSpaceDE w:val="0"/>
        <w:autoSpaceDN w:val="0"/>
        <w:adjustRightInd w:val="0"/>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lastRenderedPageBreak/>
        <w:t>provide an annual report to the Board for the statement of internal control;</w:t>
      </w:r>
    </w:p>
    <w:p w:rsidR="00497CDD" w:rsidRPr="00B120F7" w:rsidRDefault="00497CDD" w:rsidP="00497CDD">
      <w:pPr>
        <w:autoSpaceDE w:val="0"/>
        <w:autoSpaceDN w:val="0"/>
        <w:adjustRightInd w:val="0"/>
        <w:rPr>
          <w:rFonts w:cs="Arial"/>
        </w:rPr>
      </w:pPr>
    </w:p>
    <w:p w:rsidR="00497CDD" w:rsidRPr="00B120F7" w:rsidRDefault="00497CDD" w:rsidP="00497CDD">
      <w:pPr>
        <w:numPr>
          <w:ilvl w:val="0"/>
          <w:numId w:val="29"/>
        </w:numPr>
        <w:autoSpaceDE w:val="0"/>
        <w:autoSpaceDN w:val="0"/>
        <w:adjustRightInd w:val="0"/>
        <w:rPr>
          <w:rFonts w:cs="Arial"/>
        </w:rPr>
      </w:pPr>
      <w:r w:rsidRPr="00B120F7">
        <w:rPr>
          <w:rFonts w:cs="Arial"/>
        </w:rPr>
        <w:t>to provide assurance that systems and procedures are in place to manage the issues set out in MEL (2009)29</w:t>
      </w:r>
    </w:p>
    <w:p w:rsidR="00497CDD" w:rsidRPr="00B120F7" w:rsidRDefault="00497CDD" w:rsidP="00497CDD">
      <w:pPr>
        <w:jc w:val="both"/>
        <w:rPr>
          <w:rFonts w:cs="Arial"/>
        </w:rPr>
      </w:pPr>
    </w:p>
    <w:p w:rsidR="00497CDD" w:rsidRPr="00B120F7" w:rsidRDefault="00497CDD" w:rsidP="00497CDD">
      <w:pPr>
        <w:tabs>
          <w:tab w:val="left" w:pos="360"/>
        </w:tabs>
        <w:jc w:val="both"/>
        <w:rPr>
          <w:rFonts w:cs="Arial"/>
        </w:rPr>
      </w:pPr>
      <w:r w:rsidRPr="00B120F7">
        <w:rPr>
          <w:rFonts w:cs="Arial"/>
          <w:b/>
        </w:rPr>
        <w:t xml:space="preserve"> 8.</w:t>
      </w:r>
      <w:r w:rsidRPr="00B120F7">
        <w:rPr>
          <w:rFonts w:cs="Arial"/>
          <w:b/>
        </w:rPr>
        <w:tab/>
        <w:t>Review of Terms of Reference</w:t>
      </w:r>
    </w:p>
    <w:p w:rsidR="00497CDD" w:rsidRPr="00B120F7" w:rsidRDefault="00497CDD" w:rsidP="00497CDD">
      <w:pPr>
        <w:pStyle w:val="BodyText"/>
        <w:rPr>
          <w:rFonts w:cs="Arial"/>
          <w:b/>
        </w:rPr>
      </w:pPr>
      <w:r w:rsidRPr="00B120F7">
        <w:rPr>
          <w:rFonts w:cs="Arial"/>
        </w:rPr>
        <w:t>These terms of reference will be reviewed annually.</w:t>
      </w:r>
    </w:p>
    <w:p w:rsidR="001A4137" w:rsidRPr="00E51524" w:rsidRDefault="00497CDD" w:rsidP="00497CDD">
      <w:pPr>
        <w:rPr>
          <w:bCs/>
          <w:szCs w:val="24"/>
        </w:rPr>
      </w:pPr>
      <w:r>
        <w:rPr>
          <w:rFonts w:cs="Arial"/>
        </w:rPr>
        <w:br w:type="page"/>
      </w:r>
    </w:p>
    <w:p w:rsidR="00497CDD" w:rsidRPr="00DA4C0F" w:rsidRDefault="00497CDD" w:rsidP="00497CDD">
      <w:pPr>
        <w:tabs>
          <w:tab w:val="left" w:pos="1650"/>
        </w:tabs>
        <w:rPr>
          <w:b/>
        </w:rPr>
      </w:pPr>
      <w:r w:rsidRPr="00DA4C0F">
        <w:rPr>
          <w:b/>
        </w:rPr>
        <w:lastRenderedPageBreak/>
        <w:t>CGC Work plan for 201</w:t>
      </w:r>
      <w:r>
        <w:rPr>
          <w:b/>
        </w:rPr>
        <w:t>7</w:t>
      </w:r>
      <w:r w:rsidRPr="00DA4C0F">
        <w:rPr>
          <w:b/>
        </w:rPr>
        <w:t>/201</w:t>
      </w:r>
      <w:r>
        <w:rPr>
          <w:b/>
        </w:rPr>
        <w:t>8</w:t>
      </w:r>
    </w:p>
    <w:p w:rsidR="00497CDD" w:rsidRDefault="00497CDD" w:rsidP="00497CDD">
      <w:pPr>
        <w:tabs>
          <w:tab w:val="left" w:pos="1650"/>
        </w:tabs>
      </w:pPr>
    </w:p>
    <w:p w:rsidR="00497CDD" w:rsidRPr="00B120F7" w:rsidRDefault="00497CDD" w:rsidP="00497CDD">
      <w:pPr>
        <w:tabs>
          <w:tab w:val="left" w:pos="1650"/>
        </w:tabs>
        <w:rPr>
          <w:rFonts w:cs="Arial"/>
        </w:rPr>
      </w:pPr>
      <w:r w:rsidRPr="00B120F7">
        <w:rPr>
          <w:rFonts w:cs="Arial"/>
        </w:rPr>
        <w:t>The following has been agreed:</w:t>
      </w:r>
    </w:p>
    <w:p w:rsidR="00497CDD" w:rsidRDefault="00497CDD" w:rsidP="00497CDD">
      <w:pPr>
        <w:tabs>
          <w:tab w:val="left" w:pos="165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8"/>
        <w:gridCol w:w="3565"/>
      </w:tblGrid>
      <w:tr w:rsidR="00497CDD" w:rsidTr="00BB653E">
        <w:trPr>
          <w:trHeight w:val="1380"/>
          <w:jc w:val="center"/>
        </w:trPr>
        <w:tc>
          <w:tcPr>
            <w:tcW w:w="3688" w:type="dxa"/>
          </w:tcPr>
          <w:p w:rsidR="00497CDD" w:rsidRPr="00AA3E9C" w:rsidRDefault="00497CDD" w:rsidP="00BB653E">
            <w:pPr>
              <w:pStyle w:val="nhsbase"/>
              <w:rPr>
                <w:u w:val="single"/>
              </w:rPr>
            </w:pPr>
            <w:r w:rsidRPr="00AA3E9C">
              <w:rPr>
                <w:u w:val="single"/>
              </w:rPr>
              <w:t>April 201</w:t>
            </w:r>
            <w:r>
              <w:rPr>
                <w:u w:val="single"/>
              </w:rPr>
              <w:t>7</w:t>
            </w:r>
          </w:p>
          <w:p w:rsidR="00497CDD" w:rsidRDefault="00497CDD" w:rsidP="00BB653E">
            <w:pPr>
              <w:pStyle w:val="nhsbase"/>
            </w:pPr>
            <w:r>
              <w:t xml:space="preserve">Division Updates </w:t>
            </w:r>
          </w:p>
          <w:p w:rsidR="00497CDD" w:rsidRPr="00AA3E9C" w:rsidRDefault="00497CDD" w:rsidP="00BB653E">
            <w:pPr>
              <w:pStyle w:val="nhsbase"/>
            </w:pPr>
            <w:r w:rsidRPr="00AA3E9C">
              <w:t xml:space="preserve">HAIRT Report </w:t>
            </w:r>
          </w:p>
          <w:p w:rsidR="00497CDD" w:rsidRPr="00AA3E9C" w:rsidRDefault="00497CDD" w:rsidP="00BB653E">
            <w:pPr>
              <w:pStyle w:val="nhsbase"/>
            </w:pPr>
            <w:r w:rsidRPr="00AA3E9C">
              <w:t xml:space="preserve">Closed </w:t>
            </w:r>
            <w:r>
              <w:t xml:space="preserve">Significant </w:t>
            </w:r>
            <w:r w:rsidRPr="00AA3E9C">
              <w:t xml:space="preserve">Events </w:t>
            </w:r>
          </w:p>
          <w:p w:rsidR="00497CDD" w:rsidRDefault="00497CDD" w:rsidP="00BB653E">
            <w:pPr>
              <w:pStyle w:val="nhsbase"/>
            </w:pPr>
            <w:r w:rsidRPr="00AA3E9C">
              <w:t xml:space="preserve">Schedule of Reports </w:t>
            </w:r>
          </w:p>
          <w:p w:rsidR="00497CDD" w:rsidRDefault="00497CDD" w:rsidP="00BB653E">
            <w:pPr>
              <w:pStyle w:val="nhsbase"/>
            </w:pPr>
            <w:r>
              <w:t>SPSP Report</w:t>
            </w:r>
          </w:p>
          <w:p w:rsidR="00497CDD" w:rsidRDefault="00497CDD" w:rsidP="00BB653E">
            <w:pPr>
              <w:pStyle w:val="nhsbase"/>
            </w:pPr>
            <w:r>
              <w:t xml:space="preserve">Claims Report </w:t>
            </w:r>
          </w:p>
          <w:p w:rsidR="00497CDD" w:rsidRPr="00AA3E9C" w:rsidRDefault="00497CDD" w:rsidP="00BB653E">
            <w:pPr>
              <w:pStyle w:val="nhsbase"/>
            </w:pPr>
          </w:p>
        </w:tc>
        <w:tc>
          <w:tcPr>
            <w:tcW w:w="3565" w:type="dxa"/>
            <w:vMerge w:val="restart"/>
          </w:tcPr>
          <w:p w:rsidR="00497CDD" w:rsidRPr="00AA3E9C" w:rsidRDefault="00497CDD" w:rsidP="00BB653E">
            <w:pPr>
              <w:pStyle w:val="nhsbase"/>
              <w:rPr>
                <w:u w:val="single"/>
              </w:rPr>
            </w:pPr>
            <w:r w:rsidRPr="00AA3E9C">
              <w:rPr>
                <w:u w:val="single"/>
              </w:rPr>
              <w:t>July 201</w:t>
            </w:r>
            <w:r>
              <w:rPr>
                <w:u w:val="single"/>
              </w:rPr>
              <w:t>7</w:t>
            </w:r>
          </w:p>
          <w:p w:rsidR="00497CDD" w:rsidRDefault="00497CDD" w:rsidP="00BB653E">
            <w:pPr>
              <w:pStyle w:val="nhsbase"/>
            </w:pPr>
            <w:r w:rsidRPr="00AA3E9C">
              <w:t xml:space="preserve"> </w:t>
            </w:r>
            <w:r>
              <w:t xml:space="preserve">Division Updates </w:t>
            </w:r>
          </w:p>
          <w:p w:rsidR="00497CDD" w:rsidRPr="00AA3E9C" w:rsidRDefault="00497CDD" w:rsidP="00BB653E">
            <w:pPr>
              <w:pStyle w:val="nhsbase"/>
            </w:pPr>
            <w:r w:rsidRPr="00AA3E9C">
              <w:t xml:space="preserve">HAIRT Report </w:t>
            </w:r>
          </w:p>
          <w:p w:rsidR="00497CDD" w:rsidRDefault="00497CDD" w:rsidP="00BB653E">
            <w:pPr>
              <w:pStyle w:val="nhsbase"/>
            </w:pPr>
            <w:r w:rsidRPr="00AA3E9C">
              <w:t xml:space="preserve">Closed </w:t>
            </w:r>
            <w:r>
              <w:t xml:space="preserve">Significant </w:t>
            </w:r>
            <w:r w:rsidRPr="00AA3E9C">
              <w:t xml:space="preserve">Events </w:t>
            </w:r>
          </w:p>
          <w:p w:rsidR="00497CDD" w:rsidRDefault="00497CDD" w:rsidP="00BB653E">
            <w:pPr>
              <w:pStyle w:val="nhsbase"/>
            </w:pPr>
            <w:r>
              <w:t xml:space="preserve">Complaints Report </w:t>
            </w:r>
          </w:p>
          <w:p w:rsidR="00497CDD" w:rsidRDefault="00497CDD" w:rsidP="00BB653E">
            <w:pPr>
              <w:pStyle w:val="nhsbase"/>
            </w:pPr>
            <w:r>
              <w:t xml:space="preserve">Annual Learning Report </w:t>
            </w:r>
          </w:p>
          <w:p w:rsidR="00497CDD" w:rsidRPr="00AA3E9C" w:rsidRDefault="00497CDD" w:rsidP="00BB653E">
            <w:pPr>
              <w:pStyle w:val="nhsbase"/>
            </w:pPr>
            <w:r>
              <w:t xml:space="preserve">Clinical Outcomes Framework </w:t>
            </w:r>
          </w:p>
          <w:p w:rsidR="00497CDD" w:rsidRPr="00AA3E9C" w:rsidRDefault="00497CDD" w:rsidP="00BB653E">
            <w:pPr>
              <w:pStyle w:val="ListParagraph"/>
              <w:ind w:left="0"/>
            </w:pPr>
          </w:p>
        </w:tc>
      </w:tr>
      <w:tr w:rsidR="00497CDD" w:rsidTr="00BB653E">
        <w:trPr>
          <w:trHeight w:val="1380"/>
          <w:jc w:val="center"/>
        </w:trPr>
        <w:tc>
          <w:tcPr>
            <w:tcW w:w="3688" w:type="dxa"/>
          </w:tcPr>
          <w:p w:rsidR="00497CDD" w:rsidRDefault="00497CDD" w:rsidP="00BB653E">
            <w:pPr>
              <w:pStyle w:val="nhsbase"/>
              <w:rPr>
                <w:u w:val="single"/>
              </w:rPr>
            </w:pPr>
          </w:p>
          <w:p w:rsidR="00497CDD" w:rsidRPr="00895FD2" w:rsidRDefault="00497CDD" w:rsidP="00BB653E">
            <w:pPr>
              <w:pStyle w:val="nhsbase"/>
              <w:rPr>
                <w:i/>
                <w:u w:val="single"/>
              </w:rPr>
            </w:pPr>
            <w:r w:rsidRPr="00895FD2">
              <w:rPr>
                <w:i/>
                <w:u w:val="single"/>
              </w:rPr>
              <w:t>May 201</w:t>
            </w:r>
            <w:r>
              <w:rPr>
                <w:i/>
                <w:u w:val="single"/>
              </w:rPr>
              <w:t>7</w:t>
            </w:r>
          </w:p>
          <w:p w:rsidR="00497CDD" w:rsidRPr="00AA3E9C" w:rsidRDefault="00497CDD" w:rsidP="00BB653E">
            <w:pPr>
              <w:pStyle w:val="nhsbase"/>
              <w:rPr>
                <w:u w:val="single"/>
              </w:rPr>
            </w:pPr>
            <w:r w:rsidRPr="00895FD2">
              <w:rPr>
                <w:i/>
              </w:rPr>
              <w:t>Specialist Sub Groups annual presentation</w:t>
            </w:r>
          </w:p>
        </w:tc>
        <w:tc>
          <w:tcPr>
            <w:tcW w:w="3565" w:type="dxa"/>
            <w:vMerge/>
          </w:tcPr>
          <w:p w:rsidR="00497CDD" w:rsidRPr="00AA3E9C" w:rsidRDefault="00497CDD" w:rsidP="00BB653E">
            <w:pPr>
              <w:pStyle w:val="nhsbase"/>
              <w:rPr>
                <w:u w:val="single"/>
              </w:rPr>
            </w:pPr>
          </w:p>
        </w:tc>
      </w:tr>
      <w:tr w:rsidR="00497CDD" w:rsidTr="00BB653E">
        <w:trPr>
          <w:trHeight w:val="2760"/>
          <w:jc w:val="center"/>
        </w:trPr>
        <w:tc>
          <w:tcPr>
            <w:tcW w:w="3688" w:type="dxa"/>
          </w:tcPr>
          <w:p w:rsidR="00497CDD" w:rsidRPr="00AA3E9C" w:rsidRDefault="00497CDD" w:rsidP="00BB653E">
            <w:pPr>
              <w:pStyle w:val="nhsbase"/>
              <w:rPr>
                <w:u w:val="single"/>
              </w:rPr>
            </w:pPr>
            <w:r w:rsidRPr="00AA3E9C">
              <w:rPr>
                <w:u w:val="single"/>
              </w:rPr>
              <w:t>October 201</w:t>
            </w:r>
            <w:r>
              <w:rPr>
                <w:u w:val="single"/>
              </w:rPr>
              <w:t>7</w:t>
            </w:r>
          </w:p>
          <w:p w:rsidR="00497CDD" w:rsidRDefault="00497CDD" w:rsidP="00BB653E">
            <w:pPr>
              <w:pStyle w:val="nhsbase"/>
            </w:pPr>
            <w:r>
              <w:t xml:space="preserve">Division Updates </w:t>
            </w:r>
          </w:p>
          <w:p w:rsidR="00497CDD" w:rsidRPr="00AA3E9C" w:rsidRDefault="00497CDD" w:rsidP="00BB653E">
            <w:pPr>
              <w:pStyle w:val="nhsbase"/>
            </w:pPr>
            <w:r w:rsidRPr="00AA3E9C">
              <w:t xml:space="preserve">HAIRT Report </w:t>
            </w:r>
          </w:p>
          <w:p w:rsidR="00497CDD" w:rsidRDefault="00497CDD" w:rsidP="00BB653E">
            <w:pPr>
              <w:pStyle w:val="nhsbase"/>
            </w:pPr>
            <w:r w:rsidRPr="00AA3E9C">
              <w:t xml:space="preserve">Closed </w:t>
            </w:r>
            <w:r>
              <w:t xml:space="preserve">Significant </w:t>
            </w:r>
            <w:r w:rsidRPr="00AA3E9C">
              <w:t xml:space="preserve">Events </w:t>
            </w:r>
          </w:p>
          <w:p w:rsidR="00497CDD" w:rsidRDefault="00497CDD" w:rsidP="00BB653E">
            <w:pPr>
              <w:pStyle w:val="nhsbase"/>
            </w:pPr>
            <w:r>
              <w:t xml:space="preserve">Claims Report </w:t>
            </w:r>
          </w:p>
          <w:p w:rsidR="00497CDD" w:rsidRDefault="00497CDD" w:rsidP="00BB653E">
            <w:pPr>
              <w:pStyle w:val="nhsbase"/>
            </w:pPr>
            <w:r>
              <w:t xml:space="preserve">Surgical Brief Improvement Work </w:t>
            </w:r>
          </w:p>
          <w:p w:rsidR="00497CDD" w:rsidRPr="00AA3E9C" w:rsidRDefault="00497CDD" w:rsidP="00BB653E">
            <w:pPr>
              <w:pStyle w:val="nhsbase"/>
            </w:pPr>
            <w:r>
              <w:t xml:space="preserve">Duty of Candour </w:t>
            </w:r>
          </w:p>
          <w:p w:rsidR="00497CDD" w:rsidRPr="00AA3E9C" w:rsidRDefault="00497CDD" w:rsidP="00BB653E">
            <w:pPr>
              <w:pStyle w:val="nhsbase"/>
            </w:pPr>
          </w:p>
        </w:tc>
        <w:tc>
          <w:tcPr>
            <w:tcW w:w="3565" w:type="dxa"/>
          </w:tcPr>
          <w:p w:rsidR="00497CDD" w:rsidRPr="00AA3E9C" w:rsidRDefault="00497CDD" w:rsidP="00BB653E">
            <w:pPr>
              <w:pStyle w:val="nhsbase"/>
              <w:rPr>
                <w:u w:val="single"/>
              </w:rPr>
            </w:pPr>
            <w:r w:rsidRPr="00AA3E9C">
              <w:rPr>
                <w:u w:val="single"/>
              </w:rPr>
              <w:t>January 201</w:t>
            </w:r>
            <w:r>
              <w:rPr>
                <w:u w:val="single"/>
              </w:rPr>
              <w:t>8</w:t>
            </w:r>
          </w:p>
          <w:p w:rsidR="00497CDD" w:rsidRDefault="00497CDD" w:rsidP="00BB653E">
            <w:pPr>
              <w:pStyle w:val="nhsbase"/>
            </w:pPr>
            <w:r>
              <w:t xml:space="preserve">Division Updates </w:t>
            </w:r>
          </w:p>
          <w:p w:rsidR="00497CDD" w:rsidRPr="00AA3E9C" w:rsidRDefault="00497CDD" w:rsidP="00BB653E">
            <w:pPr>
              <w:pStyle w:val="nhsbase"/>
            </w:pPr>
            <w:r w:rsidRPr="00AA3E9C">
              <w:t xml:space="preserve">HAIRT Report </w:t>
            </w:r>
          </w:p>
          <w:p w:rsidR="00497CDD" w:rsidRDefault="00497CDD" w:rsidP="00BB653E">
            <w:pPr>
              <w:pStyle w:val="nhsbase"/>
            </w:pPr>
            <w:r w:rsidRPr="00AA3E9C">
              <w:t xml:space="preserve">Closed </w:t>
            </w:r>
            <w:r>
              <w:t xml:space="preserve">Significant </w:t>
            </w:r>
            <w:r w:rsidRPr="00AA3E9C">
              <w:t xml:space="preserve">Events </w:t>
            </w:r>
          </w:p>
          <w:p w:rsidR="00497CDD" w:rsidRDefault="00497CDD" w:rsidP="00BB653E">
            <w:pPr>
              <w:pStyle w:val="nhsbase"/>
            </w:pPr>
            <w:r>
              <w:t xml:space="preserve">SPSP Report </w:t>
            </w:r>
          </w:p>
          <w:p w:rsidR="00497CDD" w:rsidRPr="00AA3E9C" w:rsidRDefault="00497CDD" w:rsidP="00BB653E">
            <w:pPr>
              <w:pStyle w:val="nhsbase"/>
            </w:pPr>
            <w:r>
              <w:t xml:space="preserve">Complaints Report </w:t>
            </w:r>
          </w:p>
          <w:p w:rsidR="00497CDD" w:rsidRPr="00AA3E9C" w:rsidRDefault="00497CDD" w:rsidP="00BB653E">
            <w:pPr>
              <w:pStyle w:val="ListParagraph"/>
              <w:ind w:left="0"/>
            </w:pPr>
          </w:p>
        </w:tc>
      </w:tr>
    </w:tbl>
    <w:p w:rsidR="00497CDD" w:rsidRPr="00C211EF" w:rsidRDefault="00497CDD" w:rsidP="00497CDD">
      <w:pPr>
        <w:pStyle w:val="nhsbase"/>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0"/>
        <w:gridCol w:w="1971"/>
        <w:gridCol w:w="1971"/>
        <w:gridCol w:w="1971"/>
        <w:gridCol w:w="2148"/>
      </w:tblGrid>
      <w:tr w:rsidR="00497CDD" w:rsidTr="00497CDD">
        <w:trPr>
          <w:trHeight w:val="609"/>
        </w:trPr>
        <w:tc>
          <w:tcPr>
            <w:tcW w:w="1970" w:type="dxa"/>
            <w:vAlign w:val="center"/>
          </w:tcPr>
          <w:p w:rsidR="00497CDD" w:rsidRPr="00C85121" w:rsidRDefault="00497CDD" w:rsidP="00BB653E">
            <w:pPr>
              <w:tabs>
                <w:tab w:val="left" w:pos="1650"/>
              </w:tabs>
              <w:jc w:val="center"/>
              <w:rPr>
                <w:b/>
              </w:rPr>
            </w:pPr>
          </w:p>
        </w:tc>
        <w:tc>
          <w:tcPr>
            <w:tcW w:w="1971" w:type="dxa"/>
            <w:vAlign w:val="center"/>
          </w:tcPr>
          <w:p w:rsidR="00497CDD" w:rsidRPr="00C85121" w:rsidRDefault="00497CDD" w:rsidP="00BB653E">
            <w:pPr>
              <w:tabs>
                <w:tab w:val="left" w:pos="1650"/>
              </w:tabs>
              <w:jc w:val="center"/>
              <w:rPr>
                <w:b/>
              </w:rPr>
            </w:pPr>
            <w:r w:rsidRPr="00C85121">
              <w:rPr>
                <w:b/>
              </w:rPr>
              <w:t>April</w:t>
            </w:r>
          </w:p>
        </w:tc>
        <w:tc>
          <w:tcPr>
            <w:tcW w:w="1971" w:type="dxa"/>
            <w:vAlign w:val="center"/>
          </w:tcPr>
          <w:p w:rsidR="00497CDD" w:rsidRPr="00C85121" w:rsidRDefault="00497CDD" w:rsidP="00BB653E">
            <w:pPr>
              <w:tabs>
                <w:tab w:val="left" w:pos="1650"/>
              </w:tabs>
              <w:jc w:val="center"/>
              <w:rPr>
                <w:b/>
              </w:rPr>
            </w:pPr>
            <w:r w:rsidRPr="00C85121">
              <w:rPr>
                <w:b/>
              </w:rPr>
              <w:t>July</w:t>
            </w:r>
          </w:p>
        </w:tc>
        <w:tc>
          <w:tcPr>
            <w:tcW w:w="1971" w:type="dxa"/>
            <w:vAlign w:val="center"/>
          </w:tcPr>
          <w:p w:rsidR="00497CDD" w:rsidRPr="00C85121" w:rsidRDefault="00497CDD" w:rsidP="00BB653E">
            <w:pPr>
              <w:tabs>
                <w:tab w:val="left" w:pos="1650"/>
              </w:tabs>
              <w:jc w:val="center"/>
              <w:rPr>
                <w:b/>
              </w:rPr>
            </w:pPr>
            <w:r w:rsidRPr="00C85121">
              <w:rPr>
                <w:b/>
              </w:rPr>
              <w:t>October</w:t>
            </w:r>
          </w:p>
        </w:tc>
        <w:tc>
          <w:tcPr>
            <w:tcW w:w="2148" w:type="dxa"/>
            <w:vAlign w:val="center"/>
          </w:tcPr>
          <w:p w:rsidR="00497CDD" w:rsidRPr="00C85121" w:rsidRDefault="00497CDD" w:rsidP="00BB653E">
            <w:pPr>
              <w:tabs>
                <w:tab w:val="left" w:pos="1650"/>
              </w:tabs>
              <w:jc w:val="center"/>
              <w:rPr>
                <w:b/>
              </w:rPr>
            </w:pPr>
            <w:r w:rsidRPr="00C85121">
              <w:rPr>
                <w:b/>
              </w:rPr>
              <w:t>January</w:t>
            </w: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HAIRT Report</w:t>
            </w:r>
          </w:p>
          <w:p w:rsidR="00497CDD" w:rsidRPr="00C85121" w:rsidRDefault="00497CDD" w:rsidP="00BB653E">
            <w:pPr>
              <w:tabs>
                <w:tab w:val="left" w:pos="1650"/>
              </w:tabs>
              <w:jc w:val="center"/>
              <w:rPr>
                <w:b/>
              </w:rPr>
            </w:pPr>
          </w:p>
        </w:tc>
        <w:tc>
          <w:tcPr>
            <w:tcW w:w="8061" w:type="dxa"/>
            <w:gridSpan w:val="4"/>
            <w:vAlign w:val="center"/>
          </w:tcPr>
          <w:p w:rsidR="00497CDD" w:rsidRPr="00C85121" w:rsidRDefault="00497CDD" w:rsidP="00BB653E">
            <w:pPr>
              <w:tabs>
                <w:tab w:val="left" w:pos="1650"/>
              </w:tabs>
              <w:jc w:val="center"/>
              <w:rPr>
                <w:rFonts w:ascii="Arial Narrow" w:hAnsi="Arial Narrow"/>
              </w:rPr>
            </w:pPr>
            <w:r w:rsidRPr="00C85121">
              <w:rPr>
                <w:rFonts w:ascii="Arial Narrow" w:hAnsi="Arial Narrow"/>
              </w:rPr>
              <w:t>Latest monthly report presented at each meeting</w:t>
            </w: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 xml:space="preserve">Closed </w:t>
            </w:r>
            <w:r>
              <w:rPr>
                <w:b/>
              </w:rPr>
              <w:t xml:space="preserve">Significant </w:t>
            </w:r>
            <w:r w:rsidRPr="00C85121">
              <w:rPr>
                <w:b/>
              </w:rPr>
              <w:t>Events</w:t>
            </w:r>
          </w:p>
        </w:tc>
        <w:tc>
          <w:tcPr>
            <w:tcW w:w="8061" w:type="dxa"/>
            <w:gridSpan w:val="4"/>
            <w:vAlign w:val="center"/>
          </w:tcPr>
          <w:p w:rsidR="00497CDD" w:rsidRPr="00C85121" w:rsidRDefault="00497CDD" w:rsidP="00BB653E">
            <w:pPr>
              <w:tabs>
                <w:tab w:val="left" w:pos="1650"/>
              </w:tabs>
              <w:jc w:val="center"/>
              <w:rPr>
                <w:rFonts w:ascii="Arial Narrow" w:hAnsi="Arial Narrow"/>
              </w:rPr>
            </w:pPr>
            <w:r w:rsidRPr="00C85121">
              <w:rPr>
                <w:rFonts w:ascii="Arial Narrow" w:hAnsi="Arial Narrow"/>
              </w:rPr>
              <w:t>Standing Item to report on any SAE closed since the last meeting and update on SAE action plan status</w:t>
            </w: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 xml:space="preserve">Division </w:t>
            </w:r>
            <w:r>
              <w:rPr>
                <w:b/>
              </w:rPr>
              <w:t>Updates</w:t>
            </w:r>
          </w:p>
        </w:tc>
        <w:tc>
          <w:tcPr>
            <w:tcW w:w="8061" w:type="dxa"/>
            <w:gridSpan w:val="4"/>
            <w:vAlign w:val="center"/>
          </w:tcPr>
          <w:p w:rsidR="00497CDD" w:rsidRPr="00C85121" w:rsidRDefault="00497CDD" w:rsidP="00BB653E">
            <w:pPr>
              <w:tabs>
                <w:tab w:val="left" w:pos="1650"/>
              </w:tabs>
              <w:jc w:val="center"/>
              <w:rPr>
                <w:rFonts w:ascii="Arial Narrow" w:hAnsi="Arial Narrow"/>
              </w:rPr>
            </w:pPr>
            <w:r>
              <w:rPr>
                <w:rFonts w:ascii="Arial Narrow" w:hAnsi="Arial Narrow"/>
              </w:rPr>
              <w:t xml:space="preserve">Standing item </w:t>
            </w: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GJNH Complaints Report</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1971"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2148"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Annual Learning Report Annual</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1971"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2148" w:type="dxa"/>
            <w:vAlign w:val="center"/>
          </w:tcPr>
          <w:p w:rsidR="00497CDD" w:rsidRPr="00C85121" w:rsidRDefault="00497CDD" w:rsidP="00BB653E">
            <w:pPr>
              <w:tabs>
                <w:tab w:val="left" w:pos="1650"/>
              </w:tabs>
              <w:jc w:val="center"/>
              <w:rPr>
                <w:rFonts w:ascii="Arial Narrow" w:hAnsi="Arial Narrow"/>
              </w:rPr>
            </w:pPr>
          </w:p>
        </w:tc>
      </w:tr>
      <w:tr w:rsidR="00497CDD" w:rsidTr="00497CDD">
        <w:tc>
          <w:tcPr>
            <w:tcW w:w="1970" w:type="dxa"/>
            <w:vAlign w:val="center"/>
          </w:tcPr>
          <w:p w:rsidR="00497CDD" w:rsidRPr="00C85121" w:rsidRDefault="00497CDD" w:rsidP="00BB653E">
            <w:pPr>
              <w:tabs>
                <w:tab w:val="left" w:pos="1650"/>
              </w:tabs>
              <w:jc w:val="center"/>
              <w:rPr>
                <w:b/>
              </w:rPr>
            </w:pPr>
            <w:r w:rsidRPr="00C85121">
              <w:rPr>
                <w:b/>
              </w:rPr>
              <w:t>SPSP Report (6 monthly)</w:t>
            </w:r>
          </w:p>
        </w:tc>
        <w:tc>
          <w:tcPr>
            <w:tcW w:w="1971"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1971" w:type="dxa"/>
            <w:vAlign w:val="center"/>
          </w:tcPr>
          <w:p w:rsidR="00497CDD" w:rsidRPr="00C85121" w:rsidRDefault="00497CDD" w:rsidP="00BB653E">
            <w:pPr>
              <w:tabs>
                <w:tab w:val="left" w:pos="1650"/>
              </w:tabs>
              <w:jc w:val="center"/>
              <w:rPr>
                <w:rFonts w:ascii="Arial Narrow" w:hAnsi="Arial Narrow"/>
              </w:rPr>
            </w:pPr>
          </w:p>
        </w:tc>
        <w:tc>
          <w:tcPr>
            <w:tcW w:w="2148"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r>
      <w:tr w:rsidR="00497CDD" w:rsidTr="00497CDD">
        <w:tc>
          <w:tcPr>
            <w:tcW w:w="1970" w:type="dxa"/>
            <w:vAlign w:val="center"/>
          </w:tcPr>
          <w:p w:rsidR="00497CDD" w:rsidRDefault="00497CDD" w:rsidP="00BB653E">
            <w:pPr>
              <w:tabs>
                <w:tab w:val="left" w:pos="1650"/>
              </w:tabs>
              <w:jc w:val="center"/>
              <w:rPr>
                <w:b/>
              </w:rPr>
            </w:pPr>
          </w:p>
          <w:p w:rsidR="00497CDD" w:rsidRDefault="00497CDD" w:rsidP="00BB653E">
            <w:pPr>
              <w:tabs>
                <w:tab w:val="left" w:pos="1650"/>
              </w:tabs>
              <w:jc w:val="center"/>
              <w:rPr>
                <w:b/>
              </w:rPr>
            </w:pPr>
            <w:r>
              <w:rPr>
                <w:b/>
              </w:rPr>
              <w:t>Claims Report</w:t>
            </w:r>
          </w:p>
          <w:p w:rsidR="00497CDD" w:rsidRPr="00C85121" w:rsidRDefault="00497CDD" w:rsidP="00BB653E">
            <w:pPr>
              <w:tabs>
                <w:tab w:val="left" w:pos="1650"/>
              </w:tabs>
              <w:rPr>
                <w:b/>
              </w:rPr>
            </w:pPr>
          </w:p>
        </w:tc>
        <w:tc>
          <w:tcPr>
            <w:tcW w:w="1971" w:type="dxa"/>
            <w:vAlign w:val="center"/>
          </w:tcPr>
          <w:p w:rsidR="00497CDD" w:rsidRDefault="00497CDD" w:rsidP="00BB653E">
            <w:pPr>
              <w:tabs>
                <w:tab w:val="left" w:pos="1650"/>
              </w:tabs>
              <w:jc w:val="center"/>
              <w:rPr>
                <w:rFonts w:ascii="Arial Narrow" w:hAnsi="Arial Narrow"/>
              </w:rPr>
            </w:pPr>
            <w:r>
              <w:rPr>
                <w:rFonts w:ascii="Arial Narrow" w:hAnsi="Arial Narrow"/>
              </w:rPr>
              <w:t>X</w:t>
            </w:r>
          </w:p>
        </w:tc>
        <w:tc>
          <w:tcPr>
            <w:tcW w:w="1971" w:type="dxa"/>
            <w:vAlign w:val="center"/>
          </w:tcPr>
          <w:p w:rsidR="00497CDD" w:rsidRPr="00C85121" w:rsidRDefault="00497CDD" w:rsidP="00BB653E">
            <w:pPr>
              <w:tabs>
                <w:tab w:val="left" w:pos="1650"/>
              </w:tabs>
              <w:jc w:val="center"/>
              <w:rPr>
                <w:rFonts w:ascii="Arial Narrow" w:hAnsi="Arial Narrow"/>
              </w:rPr>
            </w:pPr>
          </w:p>
        </w:tc>
        <w:tc>
          <w:tcPr>
            <w:tcW w:w="1971" w:type="dxa"/>
            <w:vAlign w:val="center"/>
          </w:tcPr>
          <w:p w:rsidR="00497CDD" w:rsidRPr="00C85121" w:rsidRDefault="00497CDD" w:rsidP="00BB653E">
            <w:pPr>
              <w:tabs>
                <w:tab w:val="left" w:pos="1650"/>
              </w:tabs>
              <w:jc w:val="center"/>
              <w:rPr>
                <w:rFonts w:ascii="Arial Narrow" w:hAnsi="Arial Narrow"/>
              </w:rPr>
            </w:pPr>
            <w:r>
              <w:rPr>
                <w:rFonts w:ascii="Arial Narrow" w:hAnsi="Arial Narrow"/>
              </w:rPr>
              <w:t>X</w:t>
            </w:r>
          </w:p>
        </w:tc>
        <w:tc>
          <w:tcPr>
            <w:tcW w:w="2148" w:type="dxa"/>
            <w:vAlign w:val="center"/>
          </w:tcPr>
          <w:p w:rsidR="00497CDD" w:rsidRDefault="00497CDD" w:rsidP="00BB653E">
            <w:pPr>
              <w:tabs>
                <w:tab w:val="left" w:pos="1650"/>
              </w:tabs>
              <w:jc w:val="center"/>
              <w:rPr>
                <w:rFonts w:ascii="Arial Narrow" w:hAnsi="Arial Narrow"/>
              </w:rPr>
            </w:pPr>
          </w:p>
        </w:tc>
      </w:tr>
    </w:tbl>
    <w:p w:rsidR="007E698A" w:rsidRDefault="007E698A" w:rsidP="00016E7F">
      <w:pPr>
        <w:tabs>
          <w:tab w:val="left" w:pos="1650"/>
        </w:tabs>
      </w:pPr>
    </w:p>
    <w:p w:rsidR="005B439B" w:rsidRPr="00016E7F" w:rsidRDefault="005B439B" w:rsidP="00016E7F">
      <w:pPr>
        <w:tabs>
          <w:tab w:val="left" w:pos="1650"/>
        </w:tabs>
      </w:pPr>
    </w:p>
    <w:sectPr w:rsidR="005B439B" w:rsidRPr="00016E7F" w:rsidSect="004A513F">
      <w:pgSz w:w="11906" w:h="16838" w:code="9"/>
      <w:pgMar w:top="1134" w:right="1134" w:bottom="1134"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258" w:rsidRDefault="00A96258">
      <w:r>
        <w:separator/>
      </w:r>
    </w:p>
  </w:endnote>
  <w:endnote w:type="continuationSeparator" w:id="0">
    <w:p w:rsidR="00A96258" w:rsidRDefault="00A96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arlett">
    <w:panose1 w:val="00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44" w:rsidRDefault="001D75E9" w:rsidP="0070683F">
    <w:pPr>
      <w:pStyle w:val="Footer"/>
      <w:framePr w:wrap="around" w:vAnchor="text" w:hAnchor="margin" w:xAlign="center" w:y="1"/>
      <w:rPr>
        <w:rStyle w:val="PageNumber"/>
      </w:rPr>
    </w:pPr>
    <w:r>
      <w:rPr>
        <w:rStyle w:val="PageNumber"/>
      </w:rPr>
      <w:fldChar w:fldCharType="begin"/>
    </w:r>
    <w:r w:rsidR="00207244">
      <w:rPr>
        <w:rStyle w:val="PageNumber"/>
      </w:rPr>
      <w:instrText xml:space="preserve">PAGE  </w:instrText>
    </w:r>
    <w:r>
      <w:rPr>
        <w:rStyle w:val="PageNumber"/>
      </w:rPr>
      <w:fldChar w:fldCharType="end"/>
    </w:r>
  </w:p>
  <w:p w:rsidR="00207244" w:rsidRDefault="002072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44" w:rsidRDefault="001D75E9" w:rsidP="0070683F">
    <w:pPr>
      <w:pStyle w:val="Footer"/>
      <w:framePr w:wrap="around" w:vAnchor="text" w:hAnchor="margin" w:xAlign="center" w:y="1"/>
      <w:rPr>
        <w:rStyle w:val="PageNumber"/>
      </w:rPr>
    </w:pPr>
    <w:r>
      <w:rPr>
        <w:rStyle w:val="PageNumber"/>
      </w:rPr>
      <w:fldChar w:fldCharType="begin"/>
    </w:r>
    <w:r w:rsidR="00207244">
      <w:rPr>
        <w:rStyle w:val="PageNumber"/>
      </w:rPr>
      <w:instrText xml:space="preserve">PAGE  </w:instrText>
    </w:r>
    <w:r>
      <w:rPr>
        <w:rStyle w:val="PageNumber"/>
      </w:rPr>
      <w:fldChar w:fldCharType="separate"/>
    </w:r>
    <w:r w:rsidR="00DB1764">
      <w:rPr>
        <w:rStyle w:val="PageNumber"/>
        <w:noProof/>
      </w:rPr>
      <w:t>2</w:t>
    </w:r>
    <w:r>
      <w:rPr>
        <w:rStyle w:val="PageNumber"/>
      </w:rPr>
      <w:fldChar w:fldCharType="end"/>
    </w:r>
  </w:p>
  <w:p w:rsidR="00207244" w:rsidRDefault="00207244">
    <w:pPr>
      <w:pStyle w:val="Footer"/>
      <w:jc w:val="right"/>
      <w:rPr>
        <w:sz w:val="19"/>
        <w:szCs w:val="19"/>
      </w:rP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258" w:rsidRDefault="00A96258">
      <w:r>
        <w:separator/>
      </w:r>
    </w:p>
  </w:footnote>
  <w:footnote w:type="continuationSeparator" w:id="0">
    <w:p w:rsidR="00A96258" w:rsidRDefault="00A96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44" w:rsidRDefault="002072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44" w:rsidRDefault="00207244">
    <w:pPr>
      <w:pStyle w:val="Header"/>
      <w:tabs>
        <w:tab w:val="clear" w:pos="4153"/>
        <w:tab w:val="clear" w:pos="8306"/>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244" w:rsidRDefault="002072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6532"/>
    <w:multiLevelType w:val="hybridMultilevel"/>
    <w:tmpl w:val="FC0034B6"/>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nsid w:val="0EFF7F76"/>
    <w:multiLevelType w:val="hybridMultilevel"/>
    <w:tmpl w:val="407E8A9C"/>
    <w:lvl w:ilvl="0" w:tplc="417242D4">
      <w:start w:val="1"/>
      <w:numFmt w:val="decimal"/>
      <w:lvlText w:val="%1"/>
      <w:lvlJc w:val="left"/>
      <w:pPr>
        <w:ind w:hanging="540"/>
      </w:pPr>
      <w:rPr>
        <w:rFonts w:cs="Times New Roman" w:hint="default"/>
      </w:rPr>
    </w:lvl>
    <w:lvl w:ilvl="1" w:tplc="08090019" w:tentative="1">
      <w:start w:val="1"/>
      <w:numFmt w:val="lowerLetter"/>
      <w:lvlText w:val="%2."/>
      <w:lvlJc w:val="left"/>
      <w:pPr>
        <w:ind w:left="540" w:hanging="360"/>
      </w:pPr>
      <w:rPr>
        <w:rFonts w:cs="Times New Roman"/>
      </w:rPr>
    </w:lvl>
    <w:lvl w:ilvl="2" w:tplc="0809001B" w:tentative="1">
      <w:start w:val="1"/>
      <w:numFmt w:val="lowerRoman"/>
      <w:lvlText w:val="%3."/>
      <w:lvlJc w:val="right"/>
      <w:pPr>
        <w:ind w:left="1260" w:hanging="180"/>
      </w:pPr>
      <w:rPr>
        <w:rFonts w:cs="Times New Roman"/>
      </w:rPr>
    </w:lvl>
    <w:lvl w:ilvl="3" w:tplc="0809000F" w:tentative="1">
      <w:start w:val="1"/>
      <w:numFmt w:val="decimal"/>
      <w:lvlText w:val="%4."/>
      <w:lvlJc w:val="left"/>
      <w:pPr>
        <w:ind w:left="1980" w:hanging="360"/>
      </w:pPr>
      <w:rPr>
        <w:rFonts w:cs="Times New Roman"/>
      </w:rPr>
    </w:lvl>
    <w:lvl w:ilvl="4" w:tplc="08090019" w:tentative="1">
      <w:start w:val="1"/>
      <w:numFmt w:val="lowerLetter"/>
      <w:lvlText w:val="%5."/>
      <w:lvlJc w:val="left"/>
      <w:pPr>
        <w:ind w:left="2700" w:hanging="360"/>
      </w:pPr>
      <w:rPr>
        <w:rFonts w:cs="Times New Roman"/>
      </w:rPr>
    </w:lvl>
    <w:lvl w:ilvl="5" w:tplc="0809001B" w:tentative="1">
      <w:start w:val="1"/>
      <w:numFmt w:val="lowerRoman"/>
      <w:lvlText w:val="%6."/>
      <w:lvlJc w:val="right"/>
      <w:pPr>
        <w:ind w:left="3420" w:hanging="180"/>
      </w:pPr>
      <w:rPr>
        <w:rFonts w:cs="Times New Roman"/>
      </w:rPr>
    </w:lvl>
    <w:lvl w:ilvl="6" w:tplc="0809000F" w:tentative="1">
      <w:start w:val="1"/>
      <w:numFmt w:val="decimal"/>
      <w:lvlText w:val="%7."/>
      <w:lvlJc w:val="left"/>
      <w:pPr>
        <w:ind w:left="4140" w:hanging="360"/>
      </w:pPr>
      <w:rPr>
        <w:rFonts w:cs="Times New Roman"/>
      </w:rPr>
    </w:lvl>
    <w:lvl w:ilvl="7" w:tplc="08090019" w:tentative="1">
      <w:start w:val="1"/>
      <w:numFmt w:val="lowerLetter"/>
      <w:lvlText w:val="%8."/>
      <w:lvlJc w:val="left"/>
      <w:pPr>
        <w:ind w:left="4860" w:hanging="360"/>
      </w:pPr>
      <w:rPr>
        <w:rFonts w:cs="Times New Roman"/>
      </w:rPr>
    </w:lvl>
    <w:lvl w:ilvl="8" w:tplc="0809001B" w:tentative="1">
      <w:start w:val="1"/>
      <w:numFmt w:val="lowerRoman"/>
      <w:lvlText w:val="%9."/>
      <w:lvlJc w:val="right"/>
      <w:pPr>
        <w:ind w:left="5580" w:hanging="180"/>
      </w:pPr>
      <w:rPr>
        <w:rFonts w:cs="Times New Roman"/>
      </w:rPr>
    </w:lvl>
  </w:abstractNum>
  <w:abstractNum w:abstractNumId="3">
    <w:nsid w:val="1B6948D1"/>
    <w:multiLevelType w:val="hybridMultilevel"/>
    <w:tmpl w:val="9C0CE238"/>
    <w:lvl w:ilvl="0" w:tplc="FD1251A2">
      <w:start w:val="1"/>
      <w:numFmt w:val="decimal"/>
      <w:pStyle w:val="Heading3"/>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DC30C01"/>
    <w:multiLevelType w:val="hybridMultilevel"/>
    <w:tmpl w:val="47701E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0692069"/>
    <w:multiLevelType w:val="hybridMultilevel"/>
    <w:tmpl w:val="4498F52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6">
    <w:nsid w:val="21B7312C"/>
    <w:multiLevelType w:val="hybridMultilevel"/>
    <w:tmpl w:val="1E62DF60"/>
    <w:lvl w:ilvl="0" w:tplc="08090005">
      <w:start w:val="1"/>
      <w:numFmt w:val="bullet"/>
      <w:lvlText w:val=""/>
      <w:lvlJc w:val="left"/>
      <w:pPr>
        <w:tabs>
          <w:tab w:val="num" w:pos="720"/>
        </w:tabs>
        <w:ind w:left="720" w:hanging="360"/>
      </w:pPr>
      <w:rPr>
        <w:rFonts w:ascii="Wingdings" w:hAnsi="Wingdings"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cs="Times New Roman" w:hint="default"/>
        <w:b/>
        <w:i w:val="0"/>
      </w:rPr>
    </w:lvl>
    <w:lvl w:ilvl="2" w:tplc="7C425F9A">
      <w:start w:val="7"/>
      <w:numFmt w:val="decimal"/>
      <w:lvlText w:val="%3."/>
      <w:lvlJc w:val="left"/>
      <w:pPr>
        <w:tabs>
          <w:tab w:val="num" w:pos="2160"/>
        </w:tabs>
        <w:ind w:left="2160" w:hanging="360"/>
      </w:pPr>
      <w:rPr>
        <w:rFonts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95A1149"/>
    <w:multiLevelType w:val="hybridMultilevel"/>
    <w:tmpl w:val="C0564680"/>
    <w:lvl w:ilvl="0" w:tplc="82A2237A">
      <w:start w:val="1"/>
      <w:numFmt w:val="decimal"/>
      <w:lvlText w:val="%1"/>
      <w:lvlJc w:val="left"/>
      <w:pPr>
        <w:tabs>
          <w:tab w:val="num" w:pos="360"/>
        </w:tabs>
        <w:ind w:left="360" w:hanging="360"/>
      </w:pPr>
      <w:rPr>
        <w:rFonts w:cs="Times New Roman" w:hint="default"/>
        <w:b/>
        <w:i w:val="0"/>
      </w:rPr>
    </w:lvl>
    <w:lvl w:ilvl="1" w:tplc="08090005">
      <w:start w:val="1"/>
      <w:numFmt w:val="bullet"/>
      <w:lvlText w:val=""/>
      <w:lvlJc w:val="left"/>
      <w:pPr>
        <w:tabs>
          <w:tab w:val="num" w:pos="1080"/>
        </w:tabs>
        <w:ind w:left="1080" w:hanging="360"/>
      </w:pPr>
      <w:rPr>
        <w:rFonts w:ascii="Wingdings" w:hAnsi="Wingdings"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9">
    <w:nsid w:val="2A49728D"/>
    <w:multiLevelType w:val="hybridMultilevel"/>
    <w:tmpl w:val="9446A7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2481F69"/>
    <w:multiLevelType w:val="hybridMultilevel"/>
    <w:tmpl w:val="91E8D3EA"/>
    <w:lvl w:ilvl="0" w:tplc="08090017">
      <w:start w:val="1"/>
      <w:numFmt w:val="lowerLetter"/>
      <w:lvlText w:val="%1)"/>
      <w:lvlJc w:val="left"/>
      <w:pPr>
        <w:tabs>
          <w:tab w:val="num" w:pos="1080"/>
        </w:tabs>
        <w:ind w:left="1080" w:hanging="360"/>
      </w:pPr>
      <w:rPr>
        <w:rFonts w:cs="Times New Roman"/>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1">
    <w:nsid w:val="34717EDB"/>
    <w:multiLevelType w:val="hybridMultilevel"/>
    <w:tmpl w:val="C2889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71B45C0"/>
    <w:multiLevelType w:val="hybridMultilevel"/>
    <w:tmpl w:val="5572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3B06808"/>
    <w:multiLevelType w:val="hybridMultilevel"/>
    <w:tmpl w:val="A872D1B2"/>
    <w:lvl w:ilvl="0" w:tplc="D9CAB684">
      <w:start w:val="1"/>
      <w:numFmt w:val="lowerLetter"/>
      <w:pStyle w:val="Heading4"/>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43B65F9D"/>
    <w:multiLevelType w:val="hybridMultilevel"/>
    <w:tmpl w:val="9710D94A"/>
    <w:lvl w:ilvl="0" w:tplc="0809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15">
    <w:nsid w:val="44DC7FDD"/>
    <w:multiLevelType w:val="hybridMultilevel"/>
    <w:tmpl w:val="3160B2D2"/>
    <w:lvl w:ilvl="0" w:tplc="08090001">
      <w:start w:val="1"/>
      <w:numFmt w:val="bullet"/>
      <w:lvlText w:val=""/>
      <w:lvlJc w:val="left"/>
      <w:pPr>
        <w:ind w:left="746" w:hanging="360"/>
      </w:pPr>
      <w:rPr>
        <w:rFonts w:ascii="Symbol" w:hAnsi="Symbol" w:hint="default"/>
      </w:rPr>
    </w:lvl>
    <w:lvl w:ilvl="1" w:tplc="08090003" w:tentative="1">
      <w:start w:val="1"/>
      <w:numFmt w:val="bullet"/>
      <w:lvlText w:val="o"/>
      <w:lvlJc w:val="left"/>
      <w:pPr>
        <w:ind w:left="1466" w:hanging="360"/>
      </w:pPr>
      <w:rPr>
        <w:rFonts w:ascii="Courier New" w:hAnsi="Courier New" w:cs="Courier New" w:hint="default"/>
      </w:rPr>
    </w:lvl>
    <w:lvl w:ilvl="2" w:tplc="08090005" w:tentative="1">
      <w:start w:val="1"/>
      <w:numFmt w:val="bullet"/>
      <w:lvlText w:val=""/>
      <w:lvlJc w:val="left"/>
      <w:pPr>
        <w:ind w:left="2186" w:hanging="360"/>
      </w:pPr>
      <w:rPr>
        <w:rFonts w:ascii="Wingdings" w:hAnsi="Wingdings" w:hint="default"/>
      </w:rPr>
    </w:lvl>
    <w:lvl w:ilvl="3" w:tplc="08090001" w:tentative="1">
      <w:start w:val="1"/>
      <w:numFmt w:val="bullet"/>
      <w:lvlText w:val=""/>
      <w:lvlJc w:val="left"/>
      <w:pPr>
        <w:ind w:left="2906" w:hanging="360"/>
      </w:pPr>
      <w:rPr>
        <w:rFonts w:ascii="Symbol" w:hAnsi="Symbol" w:hint="default"/>
      </w:rPr>
    </w:lvl>
    <w:lvl w:ilvl="4" w:tplc="08090003" w:tentative="1">
      <w:start w:val="1"/>
      <w:numFmt w:val="bullet"/>
      <w:lvlText w:val="o"/>
      <w:lvlJc w:val="left"/>
      <w:pPr>
        <w:ind w:left="3626" w:hanging="360"/>
      </w:pPr>
      <w:rPr>
        <w:rFonts w:ascii="Courier New" w:hAnsi="Courier New" w:cs="Courier New" w:hint="default"/>
      </w:rPr>
    </w:lvl>
    <w:lvl w:ilvl="5" w:tplc="08090005" w:tentative="1">
      <w:start w:val="1"/>
      <w:numFmt w:val="bullet"/>
      <w:lvlText w:val=""/>
      <w:lvlJc w:val="left"/>
      <w:pPr>
        <w:ind w:left="4346" w:hanging="360"/>
      </w:pPr>
      <w:rPr>
        <w:rFonts w:ascii="Wingdings" w:hAnsi="Wingdings" w:hint="default"/>
      </w:rPr>
    </w:lvl>
    <w:lvl w:ilvl="6" w:tplc="08090001" w:tentative="1">
      <w:start w:val="1"/>
      <w:numFmt w:val="bullet"/>
      <w:lvlText w:val=""/>
      <w:lvlJc w:val="left"/>
      <w:pPr>
        <w:ind w:left="5066" w:hanging="360"/>
      </w:pPr>
      <w:rPr>
        <w:rFonts w:ascii="Symbol" w:hAnsi="Symbol" w:hint="default"/>
      </w:rPr>
    </w:lvl>
    <w:lvl w:ilvl="7" w:tplc="08090003" w:tentative="1">
      <w:start w:val="1"/>
      <w:numFmt w:val="bullet"/>
      <w:lvlText w:val="o"/>
      <w:lvlJc w:val="left"/>
      <w:pPr>
        <w:ind w:left="5786" w:hanging="360"/>
      </w:pPr>
      <w:rPr>
        <w:rFonts w:ascii="Courier New" w:hAnsi="Courier New" w:cs="Courier New" w:hint="default"/>
      </w:rPr>
    </w:lvl>
    <w:lvl w:ilvl="8" w:tplc="08090005" w:tentative="1">
      <w:start w:val="1"/>
      <w:numFmt w:val="bullet"/>
      <w:lvlText w:val=""/>
      <w:lvlJc w:val="left"/>
      <w:pPr>
        <w:ind w:left="6506" w:hanging="360"/>
      </w:pPr>
      <w:rPr>
        <w:rFonts w:ascii="Wingdings" w:hAnsi="Wingdings" w:hint="default"/>
      </w:rPr>
    </w:lvl>
  </w:abstractNum>
  <w:abstractNum w:abstractNumId="16">
    <w:nsid w:val="45A636EF"/>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7">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2194FFC"/>
    <w:multiLevelType w:val="hybridMultilevel"/>
    <w:tmpl w:val="5A4EBCD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54063AB2"/>
    <w:multiLevelType w:val="hybridMultilevel"/>
    <w:tmpl w:val="F63E5E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707015A"/>
    <w:multiLevelType w:val="hybridMultilevel"/>
    <w:tmpl w:val="1F0A07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B5E6311"/>
    <w:multiLevelType w:val="hybridMultilevel"/>
    <w:tmpl w:val="C79AEFA8"/>
    <w:lvl w:ilvl="0" w:tplc="82A2237A">
      <w:start w:val="1"/>
      <w:numFmt w:val="decimal"/>
      <w:lvlText w:val="%1"/>
      <w:lvlJc w:val="left"/>
      <w:pPr>
        <w:tabs>
          <w:tab w:val="num" w:pos="360"/>
        </w:tabs>
        <w:ind w:left="360" w:hanging="360"/>
      </w:pPr>
      <w:rPr>
        <w:rFonts w:cs="Times New Roman" w:hint="default"/>
        <w:b/>
        <w:i w:val="0"/>
      </w:rPr>
    </w:lvl>
    <w:lvl w:ilvl="1" w:tplc="08090001">
      <w:start w:val="1"/>
      <w:numFmt w:val="bullet"/>
      <w:lvlText w:val=""/>
      <w:lvlJc w:val="left"/>
      <w:pPr>
        <w:tabs>
          <w:tab w:val="num" w:pos="1080"/>
        </w:tabs>
        <w:ind w:left="1080" w:hanging="360"/>
      </w:pPr>
      <w:rPr>
        <w:rFonts w:ascii="Symbol" w:hAnsi="Symbol" w:hint="default"/>
        <w:b/>
        <w:i w:val="0"/>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2">
    <w:nsid w:val="5CF32E91"/>
    <w:multiLevelType w:val="multilevel"/>
    <w:tmpl w:val="773A8C90"/>
    <w:styleLink w:val="Headings"/>
    <w:lvl w:ilvl="0">
      <w:start w:val="1"/>
      <w:numFmt w:val="none"/>
      <w:lvlText w:val=""/>
      <w:lvlJc w:val="left"/>
      <w:pPr>
        <w:ind w:left="717" w:hanging="717"/>
      </w:pPr>
      <w:rPr>
        <w:rFonts w:ascii="Arial" w:hAnsi="Arial" w:cs="Times New Roman" w:hint="default"/>
        <w:sz w:val="24"/>
      </w:rPr>
    </w:lvl>
    <w:lvl w:ilvl="1">
      <w:start w:val="1"/>
      <w:numFmt w:val="decimal"/>
      <w:lvlText w:val="%2."/>
      <w:lvlJc w:val="left"/>
      <w:pPr>
        <w:ind w:left="1440" w:hanging="1440"/>
      </w:pPr>
      <w:rPr>
        <w:rFonts w:ascii="Arial" w:hAnsi="Arial" w:cs="Times New Roman" w:hint="default"/>
        <w:b/>
        <w:i w:val="0"/>
        <w:sz w:val="24"/>
      </w:rPr>
    </w:lvl>
    <w:lvl w:ilvl="2">
      <w:start w:val="1"/>
      <w:numFmt w:val="decimal"/>
      <w:lvlText w:val="%3.%2"/>
      <w:lvlJc w:val="right"/>
      <w:pPr>
        <w:ind w:left="1474" w:hanging="1474"/>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nsid w:val="5D8051AE"/>
    <w:multiLevelType w:val="hybridMultilevel"/>
    <w:tmpl w:val="A34E85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EA82C1D"/>
    <w:multiLevelType w:val="hybridMultilevel"/>
    <w:tmpl w:val="359CF398"/>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61357C9E"/>
    <w:multiLevelType w:val="hybridMultilevel"/>
    <w:tmpl w:val="17E4CA9E"/>
    <w:lvl w:ilvl="0" w:tplc="08090001">
      <w:start w:val="1"/>
      <w:numFmt w:val="bullet"/>
      <w:lvlText w:val=""/>
      <w:lvlJc w:val="left"/>
      <w:pPr>
        <w:ind w:left="749" w:hanging="360"/>
      </w:pPr>
      <w:rPr>
        <w:rFonts w:ascii="Symbol" w:hAnsi="Symbol"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abstractNum w:abstractNumId="26">
    <w:nsid w:val="635B74CA"/>
    <w:multiLevelType w:val="hybridMultilevel"/>
    <w:tmpl w:val="8FF42504"/>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nsid w:val="6F3108FF"/>
    <w:multiLevelType w:val="hybridMultilevel"/>
    <w:tmpl w:val="4920D446"/>
    <w:lvl w:ilvl="0" w:tplc="B82AADD0">
      <w:numFmt w:val="bullet"/>
      <w:lvlText w:val=""/>
      <w:lvlJc w:val="left"/>
      <w:pPr>
        <w:tabs>
          <w:tab w:val="num" w:pos="1800"/>
        </w:tabs>
        <w:ind w:left="1800" w:hanging="720"/>
      </w:pPr>
      <w:rPr>
        <w:rFonts w:ascii="Symbol" w:eastAsia="Times New Roman" w:hAnsi="Symbol" w:hint="default"/>
      </w:rPr>
    </w:lvl>
    <w:lvl w:ilvl="1" w:tplc="6896B382">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D57363F"/>
    <w:multiLevelType w:val="hybridMultilevel"/>
    <w:tmpl w:val="78E21C74"/>
    <w:lvl w:ilvl="0" w:tplc="04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
  </w:num>
  <w:num w:numId="2">
    <w:abstractNumId w:val="13"/>
  </w:num>
  <w:num w:numId="3">
    <w:abstractNumId w:val="22"/>
  </w:num>
  <w:num w:numId="4">
    <w:abstractNumId w:val="27"/>
  </w:num>
  <w:num w:numId="5">
    <w:abstractNumId w:val="7"/>
  </w:num>
  <w:num w:numId="6">
    <w:abstractNumId w:val="21"/>
  </w:num>
  <w:num w:numId="7">
    <w:abstractNumId w:val="1"/>
  </w:num>
  <w:num w:numId="8">
    <w:abstractNumId w:val="24"/>
  </w:num>
  <w:num w:numId="9">
    <w:abstractNumId w:val="26"/>
  </w:num>
  <w:num w:numId="10">
    <w:abstractNumId w:val="17"/>
  </w:num>
  <w:num w:numId="11">
    <w:abstractNumId w:val="18"/>
  </w:num>
  <w:num w:numId="12">
    <w:abstractNumId w:val="10"/>
  </w:num>
  <w:num w:numId="13">
    <w:abstractNumId w:val="9"/>
  </w:num>
  <w:num w:numId="14">
    <w:abstractNumId w:val="4"/>
  </w:num>
  <w:num w:numId="15">
    <w:abstractNumId w:val="28"/>
  </w:num>
  <w:num w:numId="16">
    <w:abstractNumId w:val="14"/>
  </w:num>
  <w:num w:numId="17">
    <w:abstractNumId w:val="15"/>
  </w:num>
  <w:num w:numId="18">
    <w:abstractNumId w:val="25"/>
  </w:num>
  <w:num w:numId="19">
    <w:abstractNumId w:val="19"/>
  </w:num>
  <w:num w:numId="20">
    <w:abstractNumId w:val="11"/>
  </w:num>
  <w:num w:numId="21">
    <w:abstractNumId w:val="12"/>
  </w:num>
  <w:num w:numId="22">
    <w:abstractNumId w:val="2"/>
  </w:num>
  <w:num w:numId="23">
    <w:abstractNumId w:val="23"/>
  </w:num>
  <w:num w:numId="24">
    <w:abstractNumId w:val="16"/>
  </w:num>
  <w:num w:numId="25">
    <w:abstractNumId w:val="8"/>
  </w:num>
  <w:num w:numId="26">
    <w:abstractNumId w:val="0"/>
  </w:num>
  <w:num w:numId="27">
    <w:abstractNumId w:val="20"/>
  </w:num>
  <w:num w:numId="28">
    <w:abstractNumId w:val="5"/>
  </w:num>
  <w:num w:numId="29">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6"/>
  </w:hdrShapeDefaults>
  <w:footnotePr>
    <w:footnote w:id="-1"/>
    <w:footnote w:id="0"/>
  </w:footnotePr>
  <w:endnotePr>
    <w:endnote w:id="-1"/>
    <w:endnote w:id="0"/>
  </w:endnotePr>
  <w:compat/>
  <w:rsids>
    <w:rsidRoot w:val="004A513F"/>
    <w:rsid w:val="00004931"/>
    <w:rsid w:val="00016569"/>
    <w:rsid w:val="00016E7F"/>
    <w:rsid w:val="00017153"/>
    <w:rsid w:val="00017FE3"/>
    <w:rsid w:val="0004038D"/>
    <w:rsid w:val="00042810"/>
    <w:rsid w:val="00052092"/>
    <w:rsid w:val="00060BBF"/>
    <w:rsid w:val="00064E9F"/>
    <w:rsid w:val="00073A9E"/>
    <w:rsid w:val="00094FDE"/>
    <w:rsid w:val="000A7103"/>
    <w:rsid w:val="000B202C"/>
    <w:rsid w:val="000B4C09"/>
    <w:rsid w:val="000C110C"/>
    <w:rsid w:val="000D2D50"/>
    <w:rsid w:val="000E0139"/>
    <w:rsid w:val="000F47E4"/>
    <w:rsid w:val="000F5D58"/>
    <w:rsid w:val="000F698A"/>
    <w:rsid w:val="00104C97"/>
    <w:rsid w:val="00121DC6"/>
    <w:rsid w:val="00140A4A"/>
    <w:rsid w:val="00142AD2"/>
    <w:rsid w:val="0014789F"/>
    <w:rsid w:val="00161DDE"/>
    <w:rsid w:val="00165414"/>
    <w:rsid w:val="00167E29"/>
    <w:rsid w:val="00174F32"/>
    <w:rsid w:val="001863D1"/>
    <w:rsid w:val="001929F6"/>
    <w:rsid w:val="001A4137"/>
    <w:rsid w:val="001B4641"/>
    <w:rsid w:val="001B7671"/>
    <w:rsid w:val="001C24AC"/>
    <w:rsid w:val="001C2B89"/>
    <w:rsid w:val="001C674B"/>
    <w:rsid w:val="001D0A23"/>
    <w:rsid w:val="001D75E9"/>
    <w:rsid w:val="001F5B31"/>
    <w:rsid w:val="001F78BE"/>
    <w:rsid w:val="00207244"/>
    <w:rsid w:val="00231267"/>
    <w:rsid w:val="002449C5"/>
    <w:rsid w:val="00251F0F"/>
    <w:rsid w:val="0025720C"/>
    <w:rsid w:val="002622BA"/>
    <w:rsid w:val="00265637"/>
    <w:rsid w:val="002841D4"/>
    <w:rsid w:val="00290BD4"/>
    <w:rsid w:val="00290C81"/>
    <w:rsid w:val="00291831"/>
    <w:rsid w:val="002A47DE"/>
    <w:rsid w:val="002B1AD7"/>
    <w:rsid w:val="002B7473"/>
    <w:rsid w:val="002C21B2"/>
    <w:rsid w:val="002C23D6"/>
    <w:rsid w:val="002D26C3"/>
    <w:rsid w:val="002D3D1C"/>
    <w:rsid w:val="002E1194"/>
    <w:rsid w:val="002E3E41"/>
    <w:rsid w:val="002E76B5"/>
    <w:rsid w:val="0030241A"/>
    <w:rsid w:val="00310874"/>
    <w:rsid w:val="00320A40"/>
    <w:rsid w:val="003240BE"/>
    <w:rsid w:val="003244FF"/>
    <w:rsid w:val="003302D9"/>
    <w:rsid w:val="00347931"/>
    <w:rsid w:val="003647A4"/>
    <w:rsid w:val="003820D5"/>
    <w:rsid w:val="00383805"/>
    <w:rsid w:val="003867F7"/>
    <w:rsid w:val="003B6D84"/>
    <w:rsid w:val="003C11AC"/>
    <w:rsid w:val="003C3411"/>
    <w:rsid w:val="003C4F5A"/>
    <w:rsid w:val="003D36F3"/>
    <w:rsid w:val="003E5147"/>
    <w:rsid w:val="003E57F7"/>
    <w:rsid w:val="003E5EE7"/>
    <w:rsid w:val="003E7FBE"/>
    <w:rsid w:val="00402CAB"/>
    <w:rsid w:val="00422E82"/>
    <w:rsid w:val="00426F00"/>
    <w:rsid w:val="0043738E"/>
    <w:rsid w:val="004450FE"/>
    <w:rsid w:val="00450C7F"/>
    <w:rsid w:val="00496DFE"/>
    <w:rsid w:val="00497CDD"/>
    <w:rsid w:val="004A1614"/>
    <w:rsid w:val="004A26EB"/>
    <w:rsid w:val="004A513F"/>
    <w:rsid w:val="004A56EF"/>
    <w:rsid w:val="004B1F19"/>
    <w:rsid w:val="004B5829"/>
    <w:rsid w:val="004B6670"/>
    <w:rsid w:val="004C2D26"/>
    <w:rsid w:val="004C3615"/>
    <w:rsid w:val="004D57C3"/>
    <w:rsid w:val="004E3B1E"/>
    <w:rsid w:val="004E74F7"/>
    <w:rsid w:val="0050678F"/>
    <w:rsid w:val="0050794D"/>
    <w:rsid w:val="00510025"/>
    <w:rsid w:val="00512331"/>
    <w:rsid w:val="005142C3"/>
    <w:rsid w:val="00516D15"/>
    <w:rsid w:val="00527C82"/>
    <w:rsid w:val="00542438"/>
    <w:rsid w:val="00550900"/>
    <w:rsid w:val="00567CE4"/>
    <w:rsid w:val="005815BF"/>
    <w:rsid w:val="00594165"/>
    <w:rsid w:val="00594241"/>
    <w:rsid w:val="0059463A"/>
    <w:rsid w:val="005B439B"/>
    <w:rsid w:val="005B4B74"/>
    <w:rsid w:val="005D0D5B"/>
    <w:rsid w:val="005D112D"/>
    <w:rsid w:val="005D15D7"/>
    <w:rsid w:val="005D701C"/>
    <w:rsid w:val="005E057A"/>
    <w:rsid w:val="005E336E"/>
    <w:rsid w:val="005E5E63"/>
    <w:rsid w:val="005F7E6A"/>
    <w:rsid w:val="00607BC3"/>
    <w:rsid w:val="0061594B"/>
    <w:rsid w:val="00646140"/>
    <w:rsid w:val="00656A75"/>
    <w:rsid w:val="00687FA2"/>
    <w:rsid w:val="006A0081"/>
    <w:rsid w:val="006A5E3F"/>
    <w:rsid w:val="006A7D9A"/>
    <w:rsid w:val="006B005B"/>
    <w:rsid w:val="006B4E24"/>
    <w:rsid w:val="006D2E44"/>
    <w:rsid w:val="006E1F1E"/>
    <w:rsid w:val="006E4203"/>
    <w:rsid w:val="006F211C"/>
    <w:rsid w:val="006F43A3"/>
    <w:rsid w:val="00700EC1"/>
    <w:rsid w:val="0070683F"/>
    <w:rsid w:val="00714DA5"/>
    <w:rsid w:val="00725642"/>
    <w:rsid w:val="0073197C"/>
    <w:rsid w:val="00734AE0"/>
    <w:rsid w:val="00747435"/>
    <w:rsid w:val="007513A5"/>
    <w:rsid w:val="007721BA"/>
    <w:rsid w:val="007734D1"/>
    <w:rsid w:val="007804BE"/>
    <w:rsid w:val="007837A8"/>
    <w:rsid w:val="007841BA"/>
    <w:rsid w:val="007A49B4"/>
    <w:rsid w:val="007B42A1"/>
    <w:rsid w:val="007C3185"/>
    <w:rsid w:val="007C7586"/>
    <w:rsid w:val="007D483D"/>
    <w:rsid w:val="007E659C"/>
    <w:rsid w:val="007E698A"/>
    <w:rsid w:val="0081058F"/>
    <w:rsid w:val="00825AC1"/>
    <w:rsid w:val="008524E2"/>
    <w:rsid w:val="00867E31"/>
    <w:rsid w:val="00874C7B"/>
    <w:rsid w:val="00895FD2"/>
    <w:rsid w:val="008A0863"/>
    <w:rsid w:val="008B58FC"/>
    <w:rsid w:val="008C7F8E"/>
    <w:rsid w:val="008E52E0"/>
    <w:rsid w:val="00905217"/>
    <w:rsid w:val="00912851"/>
    <w:rsid w:val="009251F2"/>
    <w:rsid w:val="00926826"/>
    <w:rsid w:val="0093012C"/>
    <w:rsid w:val="0093305C"/>
    <w:rsid w:val="0093751A"/>
    <w:rsid w:val="00953FC7"/>
    <w:rsid w:val="0097393B"/>
    <w:rsid w:val="009771BC"/>
    <w:rsid w:val="00992DC6"/>
    <w:rsid w:val="00997C32"/>
    <w:rsid w:val="009A2D99"/>
    <w:rsid w:val="009A7C39"/>
    <w:rsid w:val="009C05F4"/>
    <w:rsid w:val="009C188B"/>
    <w:rsid w:val="009D6E78"/>
    <w:rsid w:val="009E1503"/>
    <w:rsid w:val="009E4FC6"/>
    <w:rsid w:val="009F0D4D"/>
    <w:rsid w:val="009F1263"/>
    <w:rsid w:val="009F1B8C"/>
    <w:rsid w:val="009F4A09"/>
    <w:rsid w:val="00A03FBF"/>
    <w:rsid w:val="00A57268"/>
    <w:rsid w:val="00A650E3"/>
    <w:rsid w:val="00A80319"/>
    <w:rsid w:val="00A84F26"/>
    <w:rsid w:val="00A87100"/>
    <w:rsid w:val="00A96258"/>
    <w:rsid w:val="00AA3E9C"/>
    <w:rsid w:val="00AA7975"/>
    <w:rsid w:val="00AB5326"/>
    <w:rsid w:val="00AB5D09"/>
    <w:rsid w:val="00AC4A38"/>
    <w:rsid w:val="00AC4D2C"/>
    <w:rsid w:val="00AD0FD4"/>
    <w:rsid w:val="00AE18BF"/>
    <w:rsid w:val="00AE3CC6"/>
    <w:rsid w:val="00AE527A"/>
    <w:rsid w:val="00AE748E"/>
    <w:rsid w:val="00B33BF1"/>
    <w:rsid w:val="00B363B2"/>
    <w:rsid w:val="00B47E18"/>
    <w:rsid w:val="00B5064C"/>
    <w:rsid w:val="00B525F9"/>
    <w:rsid w:val="00B6509C"/>
    <w:rsid w:val="00B72018"/>
    <w:rsid w:val="00B83428"/>
    <w:rsid w:val="00B86D3C"/>
    <w:rsid w:val="00B93D9E"/>
    <w:rsid w:val="00BA124D"/>
    <w:rsid w:val="00BB1621"/>
    <w:rsid w:val="00BB3B85"/>
    <w:rsid w:val="00BC07CA"/>
    <w:rsid w:val="00BC5584"/>
    <w:rsid w:val="00BD2901"/>
    <w:rsid w:val="00BE01C2"/>
    <w:rsid w:val="00BE32EF"/>
    <w:rsid w:val="00BF3E0C"/>
    <w:rsid w:val="00BF6C11"/>
    <w:rsid w:val="00C14389"/>
    <w:rsid w:val="00C1540F"/>
    <w:rsid w:val="00C17052"/>
    <w:rsid w:val="00C206A9"/>
    <w:rsid w:val="00C211EF"/>
    <w:rsid w:val="00C34500"/>
    <w:rsid w:val="00C40666"/>
    <w:rsid w:val="00C50D21"/>
    <w:rsid w:val="00C571AC"/>
    <w:rsid w:val="00C603ED"/>
    <w:rsid w:val="00C60B88"/>
    <w:rsid w:val="00C63524"/>
    <w:rsid w:val="00C63588"/>
    <w:rsid w:val="00C671F8"/>
    <w:rsid w:val="00C73460"/>
    <w:rsid w:val="00C73D19"/>
    <w:rsid w:val="00C85121"/>
    <w:rsid w:val="00C93DCD"/>
    <w:rsid w:val="00CB1149"/>
    <w:rsid w:val="00CB404A"/>
    <w:rsid w:val="00CC14DF"/>
    <w:rsid w:val="00CC27EE"/>
    <w:rsid w:val="00CC3720"/>
    <w:rsid w:val="00CC7511"/>
    <w:rsid w:val="00CD600D"/>
    <w:rsid w:val="00CE51CA"/>
    <w:rsid w:val="00CF1633"/>
    <w:rsid w:val="00CF5BAB"/>
    <w:rsid w:val="00CF5BFF"/>
    <w:rsid w:val="00D03E6A"/>
    <w:rsid w:val="00D05DFB"/>
    <w:rsid w:val="00D13773"/>
    <w:rsid w:val="00D16A81"/>
    <w:rsid w:val="00D33E43"/>
    <w:rsid w:val="00D517FC"/>
    <w:rsid w:val="00D51E73"/>
    <w:rsid w:val="00D5590A"/>
    <w:rsid w:val="00D747F3"/>
    <w:rsid w:val="00DA370B"/>
    <w:rsid w:val="00DA4C0F"/>
    <w:rsid w:val="00DB1764"/>
    <w:rsid w:val="00DB3687"/>
    <w:rsid w:val="00DB6696"/>
    <w:rsid w:val="00DB7356"/>
    <w:rsid w:val="00DC1BFE"/>
    <w:rsid w:val="00DF42C2"/>
    <w:rsid w:val="00E047A3"/>
    <w:rsid w:val="00E12E91"/>
    <w:rsid w:val="00E2143B"/>
    <w:rsid w:val="00E218FA"/>
    <w:rsid w:val="00E24F8A"/>
    <w:rsid w:val="00E51524"/>
    <w:rsid w:val="00E643B6"/>
    <w:rsid w:val="00E6620C"/>
    <w:rsid w:val="00E671AE"/>
    <w:rsid w:val="00E868A7"/>
    <w:rsid w:val="00E92A5B"/>
    <w:rsid w:val="00EA3B4F"/>
    <w:rsid w:val="00EA7580"/>
    <w:rsid w:val="00EC4BAF"/>
    <w:rsid w:val="00EC62D5"/>
    <w:rsid w:val="00ED709D"/>
    <w:rsid w:val="00F06DA1"/>
    <w:rsid w:val="00F1768A"/>
    <w:rsid w:val="00F277F7"/>
    <w:rsid w:val="00F43AD8"/>
    <w:rsid w:val="00F44145"/>
    <w:rsid w:val="00F45C78"/>
    <w:rsid w:val="00F50F62"/>
    <w:rsid w:val="00F6705A"/>
    <w:rsid w:val="00F9663B"/>
    <w:rsid w:val="00FB0236"/>
    <w:rsid w:val="00FB3BE6"/>
    <w:rsid w:val="00FC5071"/>
    <w:rsid w:val="00FD3C87"/>
    <w:rsid w:val="00FD6FE1"/>
    <w:rsid w:val="00FF49E0"/>
    <w:rsid w:val="00FF5801"/>
    <w:rsid w:val="00FF61B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4A513F"/>
    <w:rPr>
      <w:rFonts w:ascii="Arial" w:hAnsi="Arial"/>
      <w:sz w:val="24"/>
    </w:rPr>
  </w:style>
  <w:style w:type="paragraph" w:styleId="Heading1">
    <w:name w:val="heading 1"/>
    <w:basedOn w:val="Normal"/>
    <w:next w:val="Normal"/>
    <w:link w:val="Heading1Char"/>
    <w:uiPriority w:val="99"/>
    <w:qFormat/>
    <w:rsid w:val="004A513F"/>
    <w:pPr>
      <w:keepNext/>
      <w:spacing w:line="1600" w:lineRule="atLeast"/>
      <w:jc w:val="center"/>
      <w:outlineLvl w:val="0"/>
    </w:pPr>
    <w:rPr>
      <w:b/>
      <w:sz w:val="28"/>
    </w:rPr>
  </w:style>
  <w:style w:type="paragraph" w:styleId="Heading2">
    <w:name w:val="heading 2"/>
    <w:basedOn w:val="Normal"/>
    <w:next w:val="Normal"/>
    <w:link w:val="Heading2Char"/>
    <w:uiPriority w:val="99"/>
    <w:qFormat/>
    <w:rsid w:val="004A513F"/>
    <w:pPr>
      <w:keepNext/>
      <w:spacing w:line="480" w:lineRule="auto"/>
      <w:outlineLvl w:val="1"/>
    </w:pPr>
    <w:rPr>
      <w:b/>
    </w:rPr>
  </w:style>
  <w:style w:type="paragraph" w:styleId="Heading3">
    <w:name w:val="heading 3"/>
    <w:basedOn w:val="Normal"/>
    <w:next w:val="Normal"/>
    <w:link w:val="Heading3Char"/>
    <w:uiPriority w:val="99"/>
    <w:qFormat/>
    <w:rsid w:val="004A513F"/>
    <w:pPr>
      <w:keepNext/>
      <w:numPr>
        <w:numId w:val="1"/>
      </w:numPr>
      <w:spacing w:line="480" w:lineRule="auto"/>
      <w:outlineLvl w:val="2"/>
    </w:pPr>
    <w:rPr>
      <w:b/>
    </w:rPr>
  </w:style>
  <w:style w:type="paragraph" w:styleId="Heading4">
    <w:name w:val="heading 4"/>
    <w:basedOn w:val="Normal"/>
    <w:next w:val="Normal"/>
    <w:link w:val="Heading4Char"/>
    <w:uiPriority w:val="99"/>
    <w:qFormat/>
    <w:rsid w:val="004A513F"/>
    <w:pPr>
      <w:keepNext/>
      <w:numPr>
        <w:numId w:val="2"/>
      </w:numPr>
      <w:spacing w:line="480" w:lineRule="auto"/>
      <w:jc w:val="center"/>
      <w:outlineLvl w:val="3"/>
    </w:pPr>
    <w:rPr>
      <w:b/>
      <w:i/>
    </w:rPr>
  </w:style>
  <w:style w:type="paragraph" w:styleId="Heading5">
    <w:name w:val="heading 5"/>
    <w:basedOn w:val="Normal"/>
    <w:next w:val="Normal"/>
    <w:link w:val="Heading5Char"/>
    <w:uiPriority w:val="99"/>
    <w:qFormat/>
    <w:rsid w:val="004A513F"/>
    <w:pPr>
      <w:keepNext/>
      <w:outlineLvl w:val="4"/>
    </w:pPr>
    <w:rPr>
      <w:b/>
    </w:rPr>
  </w:style>
  <w:style w:type="paragraph" w:styleId="Heading8">
    <w:name w:val="heading 8"/>
    <w:basedOn w:val="Normal"/>
    <w:next w:val="Normal"/>
    <w:link w:val="Heading8Char"/>
    <w:uiPriority w:val="99"/>
    <w:qFormat/>
    <w:rsid w:val="004A513F"/>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513F"/>
    <w:rPr>
      <w:rFonts w:ascii="Arial" w:hAnsi="Arial" w:cs="Times New Roman"/>
      <w:b/>
      <w:sz w:val="28"/>
    </w:rPr>
  </w:style>
  <w:style w:type="character" w:customStyle="1" w:styleId="Heading2Char">
    <w:name w:val="Heading 2 Char"/>
    <w:basedOn w:val="DefaultParagraphFont"/>
    <w:link w:val="Heading2"/>
    <w:uiPriority w:val="99"/>
    <w:locked/>
    <w:rsid w:val="004A513F"/>
    <w:rPr>
      <w:rFonts w:ascii="Arial" w:hAnsi="Arial" w:cs="Times New Roman"/>
      <w:b/>
      <w:sz w:val="22"/>
    </w:rPr>
  </w:style>
  <w:style w:type="character" w:customStyle="1" w:styleId="Heading3Char">
    <w:name w:val="Heading 3 Char"/>
    <w:basedOn w:val="DefaultParagraphFont"/>
    <w:link w:val="Heading3"/>
    <w:uiPriority w:val="99"/>
    <w:locked/>
    <w:rsid w:val="004A513F"/>
    <w:rPr>
      <w:rFonts w:ascii="Arial" w:hAnsi="Arial"/>
      <w:b/>
      <w:sz w:val="24"/>
    </w:rPr>
  </w:style>
  <w:style w:type="character" w:customStyle="1" w:styleId="Heading4Char">
    <w:name w:val="Heading 4 Char"/>
    <w:basedOn w:val="DefaultParagraphFont"/>
    <w:link w:val="Heading4"/>
    <w:uiPriority w:val="99"/>
    <w:locked/>
    <w:rsid w:val="004A513F"/>
    <w:rPr>
      <w:rFonts w:ascii="Arial" w:hAnsi="Arial"/>
      <w:b/>
      <w:i/>
      <w:sz w:val="24"/>
    </w:rPr>
  </w:style>
  <w:style w:type="character" w:customStyle="1" w:styleId="Heading5Char">
    <w:name w:val="Heading 5 Char"/>
    <w:basedOn w:val="DefaultParagraphFont"/>
    <w:link w:val="Heading5"/>
    <w:uiPriority w:val="99"/>
    <w:locked/>
    <w:rsid w:val="004A513F"/>
    <w:rPr>
      <w:rFonts w:ascii="Arial" w:hAnsi="Arial" w:cs="Times New Roman"/>
      <w:b/>
      <w:sz w:val="24"/>
    </w:rPr>
  </w:style>
  <w:style w:type="character" w:customStyle="1" w:styleId="Heading8Char">
    <w:name w:val="Heading 8 Char"/>
    <w:basedOn w:val="DefaultParagraphFont"/>
    <w:link w:val="Heading8"/>
    <w:uiPriority w:val="99"/>
    <w:locked/>
    <w:rsid w:val="004A513F"/>
    <w:rPr>
      <w:rFonts w:eastAsia="Times New Roman" w:cs="Times New Roman"/>
      <w:i/>
      <w:iCs/>
      <w:sz w:val="24"/>
      <w:szCs w:val="24"/>
    </w:rPr>
  </w:style>
  <w:style w:type="paragraph" w:styleId="TOC1">
    <w:name w:val="toc 1"/>
    <w:basedOn w:val="Normal"/>
    <w:next w:val="Normal"/>
    <w:autoRedefine/>
    <w:uiPriority w:val="99"/>
    <w:rsid w:val="004A513F"/>
  </w:style>
  <w:style w:type="paragraph" w:styleId="TOC2">
    <w:name w:val="toc 2"/>
    <w:basedOn w:val="Normal"/>
    <w:next w:val="Normal"/>
    <w:autoRedefine/>
    <w:uiPriority w:val="99"/>
    <w:rsid w:val="004A513F"/>
    <w:pPr>
      <w:tabs>
        <w:tab w:val="right" w:leader="dot" w:pos="9061"/>
      </w:tabs>
      <w:ind w:left="220"/>
    </w:pPr>
  </w:style>
  <w:style w:type="paragraph" w:styleId="TOC3">
    <w:name w:val="toc 3"/>
    <w:basedOn w:val="Normal"/>
    <w:next w:val="Normal"/>
    <w:autoRedefine/>
    <w:uiPriority w:val="99"/>
    <w:rsid w:val="004A513F"/>
    <w:pPr>
      <w:ind w:left="440"/>
    </w:pPr>
  </w:style>
  <w:style w:type="paragraph" w:styleId="Header">
    <w:name w:val="header"/>
    <w:basedOn w:val="Normal"/>
    <w:link w:val="HeaderChar"/>
    <w:uiPriority w:val="99"/>
    <w:rsid w:val="004A513F"/>
    <w:pPr>
      <w:tabs>
        <w:tab w:val="center" w:pos="4153"/>
        <w:tab w:val="right" w:pos="8306"/>
      </w:tabs>
    </w:pPr>
  </w:style>
  <w:style w:type="character" w:customStyle="1" w:styleId="HeaderChar">
    <w:name w:val="Header Char"/>
    <w:basedOn w:val="DefaultParagraphFont"/>
    <w:link w:val="Header"/>
    <w:uiPriority w:val="99"/>
    <w:locked/>
    <w:rsid w:val="004A513F"/>
    <w:rPr>
      <w:rFonts w:eastAsia="Times New Roman" w:cs="Times New Roman"/>
      <w:sz w:val="22"/>
    </w:rPr>
  </w:style>
  <w:style w:type="paragraph" w:styleId="Footer">
    <w:name w:val="footer"/>
    <w:basedOn w:val="Normal"/>
    <w:link w:val="FooterChar1"/>
    <w:uiPriority w:val="99"/>
    <w:rsid w:val="004A513F"/>
    <w:pPr>
      <w:tabs>
        <w:tab w:val="center" w:pos="4153"/>
        <w:tab w:val="right" w:pos="8306"/>
      </w:tabs>
    </w:pPr>
  </w:style>
  <w:style w:type="character" w:customStyle="1" w:styleId="FooterChar">
    <w:name w:val="Footer Char"/>
    <w:basedOn w:val="DefaultParagraphFont"/>
    <w:link w:val="Footer"/>
    <w:uiPriority w:val="99"/>
    <w:locked/>
    <w:rsid w:val="0070683F"/>
    <w:rPr>
      <w:rFonts w:cs="Times New Roman"/>
      <w:sz w:val="24"/>
      <w:szCs w:val="24"/>
      <w:lang w:val="en-GB" w:eastAsia="en-US" w:bidi="ar-SA"/>
    </w:rPr>
  </w:style>
  <w:style w:type="character" w:customStyle="1" w:styleId="FooterChar1">
    <w:name w:val="Footer Char1"/>
    <w:basedOn w:val="DefaultParagraphFont"/>
    <w:link w:val="Footer"/>
    <w:uiPriority w:val="99"/>
    <w:locked/>
    <w:rsid w:val="004A513F"/>
    <w:rPr>
      <w:rFonts w:eastAsia="Times New Roman" w:cs="Times New Roman"/>
      <w:sz w:val="22"/>
    </w:rPr>
  </w:style>
  <w:style w:type="character" w:styleId="PageNumber">
    <w:name w:val="page number"/>
    <w:basedOn w:val="DefaultParagraphFont"/>
    <w:uiPriority w:val="99"/>
    <w:rsid w:val="004A513F"/>
    <w:rPr>
      <w:rFonts w:cs="Times New Roman"/>
    </w:rPr>
  </w:style>
  <w:style w:type="paragraph" w:styleId="Title">
    <w:name w:val="Title"/>
    <w:basedOn w:val="Normal"/>
    <w:link w:val="TitleChar"/>
    <w:uiPriority w:val="99"/>
    <w:qFormat/>
    <w:rsid w:val="004A513F"/>
    <w:pPr>
      <w:jc w:val="center"/>
    </w:pPr>
    <w:rPr>
      <w:rFonts w:ascii="Copperplate Gothic Bold" w:hAnsi="Copperplate Gothic Bold"/>
      <w:color w:val="800080"/>
      <w:sz w:val="48"/>
    </w:rPr>
  </w:style>
  <w:style w:type="character" w:customStyle="1" w:styleId="TitleChar">
    <w:name w:val="Title Char"/>
    <w:basedOn w:val="DefaultParagraphFont"/>
    <w:link w:val="Title"/>
    <w:uiPriority w:val="99"/>
    <w:locked/>
    <w:rsid w:val="004A513F"/>
    <w:rPr>
      <w:rFonts w:ascii="Copperplate Gothic Bold" w:hAnsi="Copperplate Gothic Bold" w:cs="Times New Roman"/>
      <w:color w:val="800080"/>
      <w:sz w:val="48"/>
    </w:rPr>
  </w:style>
  <w:style w:type="paragraph" w:styleId="BodyText">
    <w:name w:val="Body Text"/>
    <w:basedOn w:val="Normal"/>
    <w:link w:val="BodyTextChar"/>
    <w:uiPriority w:val="99"/>
    <w:rsid w:val="004A513F"/>
  </w:style>
  <w:style w:type="character" w:customStyle="1" w:styleId="BodyTextChar">
    <w:name w:val="Body Text Char"/>
    <w:basedOn w:val="DefaultParagraphFont"/>
    <w:link w:val="BodyText"/>
    <w:uiPriority w:val="99"/>
    <w:locked/>
    <w:rsid w:val="004A513F"/>
    <w:rPr>
      <w:rFonts w:ascii="Arial" w:hAnsi="Arial" w:cs="Times New Roman"/>
      <w:sz w:val="24"/>
    </w:rPr>
  </w:style>
  <w:style w:type="paragraph" w:styleId="Subtitle">
    <w:name w:val="Subtitle"/>
    <w:basedOn w:val="Normal"/>
    <w:link w:val="SubtitleChar"/>
    <w:uiPriority w:val="99"/>
    <w:qFormat/>
    <w:rsid w:val="004A513F"/>
    <w:pPr>
      <w:jc w:val="center"/>
    </w:pPr>
    <w:rPr>
      <w:b/>
    </w:rPr>
  </w:style>
  <w:style w:type="character" w:customStyle="1" w:styleId="SubtitleChar">
    <w:name w:val="Subtitle Char"/>
    <w:basedOn w:val="DefaultParagraphFont"/>
    <w:link w:val="Subtitle"/>
    <w:uiPriority w:val="99"/>
    <w:locked/>
    <w:rsid w:val="004A513F"/>
    <w:rPr>
      <w:rFonts w:ascii="Arial" w:hAnsi="Arial" w:cs="Times New Roman"/>
      <w:b/>
      <w:sz w:val="24"/>
    </w:rPr>
  </w:style>
  <w:style w:type="paragraph" w:styleId="BodyText2">
    <w:name w:val="Body Text 2"/>
    <w:basedOn w:val="Normal"/>
    <w:link w:val="BodyText2Char"/>
    <w:uiPriority w:val="99"/>
    <w:rsid w:val="004A513F"/>
    <w:pPr>
      <w:spacing w:after="120" w:line="480" w:lineRule="auto"/>
    </w:pPr>
  </w:style>
  <w:style w:type="character" w:customStyle="1" w:styleId="BodyText2Char">
    <w:name w:val="Body Text 2 Char"/>
    <w:basedOn w:val="DefaultParagraphFont"/>
    <w:link w:val="BodyText2"/>
    <w:uiPriority w:val="99"/>
    <w:locked/>
    <w:rsid w:val="004A513F"/>
    <w:rPr>
      <w:rFonts w:eastAsia="Times New Roman" w:cs="Times New Roman"/>
      <w:sz w:val="22"/>
    </w:rPr>
  </w:style>
  <w:style w:type="character" w:styleId="Hyperlink">
    <w:name w:val="Hyperlink"/>
    <w:basedOn w:val="DefaultParagraphFont"/>
    <w:uiPriority w:val="99"/>
    <w:rsid w:val="004A513F"/>
    <w:rPr>
      <w:rFonts w:cs="Times New Roman"/>
      <w:color w:val="0000FF"/>
      <w:u w:val="single"/>
    </w:rPr>
  </w:style>
  <w:style w:type="paragraph" w:styleId="BalloonText">
    <w:name w:val="Balloon Text"/>
    <w:basedOn w:val="Normal"/>
    <w:link w:val="BalloonTextChar"/>
    <w:uiPriority w:val="99"/>
    <w:semiHidden/>
    <w:rsid w:val="004A513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513F"/>
    <w:rPr>
      <w:rFonts w:ascii="Tahoma" w:hAnsi="Tahoma" w:cs="Tahoma"/>
      <w:sz w:val="16"/>
      <w:szCs w:val="16"/>
    </w:rPr>
  </w:style>
  <w:style w:type="paragraph" w:styleId="TOCHeading">
    <w:name w:val="TOC Heading"/>
    <w:basedOn w:val="Heading1"/>
    <w:next w:val="Normal"/>
    <w:uiPriority w:val="99"/>
    <w:qFormat/>
    <w:rsid w:val="004A513F"/>
    <w:pPr>
      <w:keepLines/>
      <w:spacing w:before="480" w:line="276" w:lineRule="auto"/>
      <w:jc w:val="left"/>
      <w:outlineLvl w:val="9"/>
    </w:pPr>
    <w:rPr>
      <w:rFonts w:ascii="Cambria" w:hAnsi="Cambria"/>
      <w:bCs/>
      <w:color w:val="365F91"/>
      <w:szCs w:val="28"/>
      <w:lang w:val="en-US"/>
    </w:rPr>
  </w:style>
  <w:style w:type="paragraph" w:customStyle="1" w:styleId="TableHeading">
    <w:name w:val="Table Heading"/>
    <w:basedOn w:val="TableText"/>
    <w:uiPriority w:val="99"/>
    <w:rsid w:val="004A513F"/>
    <w:pPr>
      <w:spacing w:before="120" w:after="120"/>
    </w:pPr>
    <w:rPr>
      <w:b/>
    </w:rPr>
  </w:style>
  <w:style w:type="paragraph" w:customStyle="1" w:styleId="TableText">
    <w:name w:val="Table Text"/>
    <w:basedOn w:val="Normal"/>
    <w:uiPriority w:val="99"/>
    <w:rsid w:val="004A513F"/>
    <w:pPr>
      <w:keepLines/>
      <w:suppressAutoHyphens/>
    </w:pPr>
    <w:rPr>
      <w:rFonts w:ascii="Book Antiqua" w:hAnsi="Book Antiqua"/>
      <w:sz w:val="16"/>
    </w:rPr>
  </w:style>
  <w:style w:type="paragraph" w:customStyle="1" w:styleId="nhsbase">
    <w:name w:val="nhs_base"/>
    <w:basedOn w:val="Normal"/>
    <w:uiPriority w:val="99"/>
    <w:rsid w:val="004A513F"/>
    <w:rPr>
      <w:kern w:val="16"/>
    </w:rPr>
  </w:style>
  <w:style w:type="table" w:styleId="TableGrid">
    <w:name w:val="Table Grid"/>
    <w:basedOn w:val="TableNormal"/>
    <w:uiPriority w:val="99"/>
    <w:rsid w:val="004A51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locked/>
    <w:rsid w:val="00E868A7"/>
    <w:rPr>
      <w:rFonts w:cs="Times New Roman"/>
      <w:b/>
      <w:bCs/>
    </w:rPr>
  </w:style>
  <w:style w:type="character" w:styleId="CommentReference">
    <w:name w:val="annotation reference"/>
    <w:basedOn w:val="DefaultParagraphFont"/>
    <w:uiPriority w:val="99"/>
    <w:rsid w:val="000B4C09"/>
    <w:rPr>
      <w:rFonts w:cs="Times New Roman"/>
      <w:sz w:val="16"/>
      <w:szCs w:val="16"/>
    </w:rPr>
  </w:style>
  <w:style w:type="paragraph" w:styleId="CommentText">
    <w:name w:val="annotation text"/>
    <w:basedOn w:val="Normal"/>
    <w:link w:val="CommentTextChar"/>
    <w:uiPriority w:val="99"/>
    <w:rsid w:val="000B4C09"/>
    <w:rPr>
      <w:sz w:val="20"/>
    </w:rPr>
  </w:style>
  <w:style w:type="character" w:customStyle="1" w:styleId="CommentTextChar">
    <w:name w:val="Comment Text Char"/>
    <w:basedOn w:val="DefaultParagraphFont"/>
    <w:link w:val="CommentText"/>
    <w:uiPriority w:val="99"/>
    <w:locked/>
    <w:rsid w:val="000B4C09"/>
    <w:rPr>
      <w:rFonts w:ascii="Arial" w:hAnsi="Arial" w:cs="Times New Roman"/>
    </w:rPr>
  </w:style>
  <w:style w:type="paragraph" w:styleId="CommentSubject">
    <w:name w:val="annotation subject"/>
    <w:basedOn w:val="CommentText"/>
    <w:next w:val="CommentText"/>
    <w:link w:val="CommentSubjectChar"/>
    <w:uiPriority w:val="99"/>
    <w:rsid w:val="000B4C09"/>
    <w:rPr>
      <w:b/>
      <w:bCs/>
    </w:rPr>
  </w:style>
  <w:style w:type="character" w:customStyle="1" w:styleId="CommentSubjectChar">
    <w:name w:val="Comment Subject Char"/>
    <w:basedOn w:val="CommentTextChar"/>
    <w:link w:val="CommentSubject"/>
    <w:uiPriority w:val="99"/>
    <w:locked/>
    <w:rsid w:val="000B4C09"/>
    <w:rPr>
      <w:b/>
      <w:bCs/>
    </w:rPr>
  </w:style>
  <w:style w:type="paragraph" w:styleId="BodyTextIndent2">
    <w:name w:val="Body Text Indent 2"/>
    <w:basedOn w:val="Normal"/>
    <w:link w:val="BodyTextIndent2Char"/>
    <w:uiPriority w:val="99"/>
    <w:rsid w:val="0070683F"/>
    <w:pPr>
      <w:spacing w:after="120" w:line="480" w:lineRule="auto"/>
      <w:ind w:left="283"/>
    </w:pPr>
  </w:style>
  <w:style w:type="character" w:customStyle="1" w:styleId="BodyTextIndent2Char">
    <w:name w:val="Body Text Indent 2 Char"/>
    <w:basedOn w:val="DefaultParagraphFont"/>
    <w:link w:val="BodyTextIndent2"/>
    <w:uiPriority w:val="99"/>
    <w:semiHidden/>
    <w:rsid w:val="00176341"/>
    <w:rPr>
      <w:rFonts w:ascii="Arial" w:hAnsi="Arial"/>
      <w:sz w:val="24"/>
      <w:szCs w:val="20"/>
    </w:rPr>
  </w:style>
  <w:style w:type="character" w:styleId="Emphasis">
    <w:name w:val="Emphasis"/>
    <w:basedOn w:val="DefaultParagraphFont"/>
    <w:uiPriority w:val="99"/>
    <w:qFormat/>
    <w:locked/>
    <w:rsid w:val="006F211C"/>
    <w:rPr>
      <w:rFonts w:cs="Times New Roman"/>
      <w:i/>
      <w:iCs/>
    </w:rPr>
  </w:style>
  <w:style w:type="paragraph" w:styleId="ListParagraph">
    <w:name w:val="List Paragraph"/>
    <w:basedOn w:val="Normal"/>
    <w:uiPriority w:val="99"/>
    <w:qFormat/>
    <w:rsid w:val="005815BF"/>
    <w:pPr>
      <w:ind w:left="720"/>
      <w:contextualSpacing/>
    </w:pPr>
  </w:style>
  <w:style w:type="paragraph" w:customStyle="1" w:styleId="Default">
    <w:name w:val="Default"/>
    <w:uiPriority w:val="99"/>
    <w:rsid w:val="00FB0236"/>
    <w:pPr>
      <w:autoSpaceDE w:val="0"/>
      <w:autoSpaceDN w:val="0"/>
      <w:adjustRightInd w:val="0"/>
    </w:pPr>
    <w:rPr>
      <w:rFonts w:ascii="Arial" w:hAnsi="Arial" w:cs="Arial"/>
      <w:color w:val="000000"/>
      <w:sz w:val="24"/>
      <w:szCs w:val="24"/>
    </w:rPr>
  </w:style>
  <w:style w:type="numbering" w:customStyle="1" w:styleId="Headings">
    <w:name w:val="Headings"/>
    <w:rsid w:val="00176341"/>
    <w:pPr>
      <w:numPr>
        <w:numId w:val="3"/>
      </w:numPr>
    </w:pPr>
  </w:style>
  <w:style w:type="paragraph" w:customStyle="1" w:styleId="nhsdept">
    <w:name w:val="nhs_dept"/>
    <w:basedOn w:val="Normal"/>
    <w:rsid w:val="00AD0FD4"/>
    <w:rPr>
      <w:rFonts w:ascii="Times New Roman" w:eastAsia="Times New Roman" w:hAnsi="Times New Roman"/>
      <w:b/>
      <w:kern w:val="16"/>
      <w:sz w:val="28"/>
      <w:lang w:eastAsia="en-US"/>
    </w:rPr>
  </w:style>
  <w:style w:type="paragraph" w:styleId="BodyTextIndent">
    <w:name w:val="Body Text Indent"/>
    <w:basedOn w:val="Normal"/>
    <w:link w:val="BodyTextIndentChar"/>
    <w:uiPriority w:val="99"/>
    <w:semiHidden/>
    <w:unhideWhenUsed/>
    <w:rsid w:val="00747435"/>
    <w:pPr>
      <w:spacing w:after="120"/>
      <w:ind w:left="283"/>
    </w:pPr>
  </w:style>
  <w:style w:type="character" w:customStyle="1" w:styleId="BodyTextIndentChar">
    <w:name w:val="Body Text Indent Char"/>
    <w:basedOn w:val="DefaultParagraphFont"/>
    <w:link w:val="BodyTextIndent"/>
    <w:uiPriority w:val="99"/>
    <w:semiHidden/>
    <w:rsid w:val="00747435"/>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123897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nhsscotlandevent.com/sites/default/files/Exhibitor-39-golden-jubilee-national-hospital&amp;-nhs.jp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2195</Words>
  <Characters>12512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Audit Committee Annual Report - Draft</vt:lpstr>
    </vt:vector>
  </TitlesOfParts>
  <Company>0wn Inc.</Company>
  <LinksUpToDate>false</LinksUpToDate>
  <CharactersWithSpaces>14678</CharactersWithSpaces>
  <SharedDoc>false</SharedDoc>
  <HLinks>
    <vt:vector size="6" baseType="variant">
      <vt:variant>
        <vt:i4>3014717</vt:i4>
      </vt:variant>
      <vt:variant>
        <vt:i4>-1</vt:i4>
      </vt:variant>
      <vt:variant>
        <vt:i4>1026</vt:i4>
      </vt:variant>
      <vt:variant>
        <vt:i4>1</vt:i4>
      </vt:variant>
      <vt:variant>
        <vt:lpwstr>http://nhsscotlandevent.com/sites/default/files/Exhibitor-39-golden-jubilee-national-hospital&amp;-nhs.jpg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Committee Annual Report - Draft</dc:title>
  <dc:creator>fforsyth</dc:creator>
  <cp:lastModifiedBy>McQueenA</cp:lastModifiedBy>
  <cp:revision>3</cp:revision>
  <cp:lastPrinted>2018-06-13T16:48:00Z</cp:lastPrinted>
  <dcterms:created xsi:type="dcterms:W3CDTF">2018-06-13T16:04:00Z</dcterms:created>
  <dcterms:modified xsi:type="dcterms:W3CDTF">2018-06-13T16:48:00Z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0x010100A0A847E82912854DAC7F03CC2AA4F5C1</vt:lpwstr>
  </property>
</Properties>
</file>