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Default Extension="png" ContentType="image/png"/>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61E" w:rsidRPr="0010061E" w:rsidRDefault="0010061E" w:rsidP="0010061E">
      <w:pPr>
        <w:pStyle w:val="Heading1"/>
        <w:tabs>
          <w:tab w:val="left" w:pos="3261"/>
        </w:tabs>
        <w:ind w:right="183"/>
        <w:jc w:val="right"/>
        <w:rPr>
          <w:rFonts w:ascii="Arial" w:hAnsi="Arial" w:cs="Arial"/>
          <w:noProof/>
          <w:color w:val="002060"/>
          <w:sz w:val="20"/>
          <w:szCs w:val="20"/>
          <w:lang w:eastAsia="en-GB"/>
        </w:rPr>
      </w:pPr>
      <w:r w:rsidRPr="0010061E">
        <w:rPr>
          <w:rFonts w:ascii="Arial" w:hAnsi="Arial" w:cs="Arial"/>
          <w:noProof/>
          <w:color w:val="002060"/>
          <w:sz w:val="20"/>
          <w:szCs w:val="20"/>
          <w:lang w:eastAsia="en-GB"/>
        </w:rPr>
        <w:t>Ref: GJF/2018/06/07</w:t>
      </w:r>
    </w:p>
    <w:p w:rsidR="0010061E" w:rsidRPr="0010061E" w:rsidRDefault="0010061E" w:rsidP="0010061E">
      <w:pPr>
        <w:rPr>
          <w:lang w:eastAsia="en-GB"/>
        </w:rPr>
      </w:pPr>
      <w:r>
        <w:rPr>
          <w:noProof/>
          <w:lang w:eastAsia="en-GB"/>
        </w:rPr>
        <w:drawing>
          <wp:anchor distT="0" distB="0" distL="114300" distR="114300" simplePos="0" relativeHeight="251659264" behindDoc="0" locked="0" layoutInCell="1" allowOverlap="1">
            <wp:simplePos x="0" y="0"/>
            <wp:positionH relativeFrom="column">
              <wp:posOffset>4060190</wp:posOffset>
            </wp:positionH>
            <wp:positionV relativeFrom="paragraph">
              <wp:posOffset>149225</wp:posOffset>
            </wp:positionV>
            <wp:extent cx="1388110" cy="1390650"/>
            <wp:effectExtent l="19050" t="0" r="2540" b="0"/>
            <wp:wrapSquare wrapText="bothSides"/>
            <wp:docPr id="2"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88110" cy="1390650"/>
                    </a:xfrm>
                    <a:prstGeom prst="rect">
                      <a:avLst/>
                    </a:prstGeom>
                    <a:noFill/>
                  </pic:spPr>
                </pic:pic>
              </a:graphicData>
            </a:graphic>
          </wp:anchor>
        </w:drawing>
      </w:r>
    </w:p>
    <w:p w:rsidR="00354084" w:rsidRPr="00906177" w:rsidRDefault="00136AB9" w:rsidP="00D55096">
      <w:pPr>
        <w:pStyle w:val="Heading1"/>
        <w:tabs>
          <w:tab w:val="left" w:pos="3261"/>
        </w:tabs>
        <w:ind w:right="183"/>
        <w:rPr>
          <w:rFonts w:ascii="Arial" w:hAnsi="Arial" w:cs="Arial"/>
          <w:b w:val="0"/>
          <w:sz w:val="24"/>
        </w:rPr>
      </w:pPr>
      <w:r>
        <w:rPr>
          <w:rFonts w:ascii="Arial" w:hAnsi="Arial" w:cs="Arial"/>
          <w:noProof/>
          <w:sz w:val="24"/>
          <w:lang w:eastAsia="en-GB"/>
        </w:rPr>
        <w:t>Board Meeting</w:t>
      </w:r>
      <w:r w:rsidR="00D55096" w:rsidRPr="00E42B7D">
        <w:rPr>
          <w:rFonts w:ascii="Arial" w:hAnsi="Arial" w:cs="Arial"/>
          <w:noProof/>
          <w:sz w:val="24"/>
          <w:lang w:eastAsia="en-GB"/>
        </w:rPr>
        <w:t>:</w:t>
      </w:r>
      <w:r w:rsidR="00354084" w:rsidRPr="00E42B7D">
        <w:rPr>
          <w:rFonts w:ascii="Arial" w:hAnsi="Arial" w:cs="Arial"/>
          <w:sz w:val="24"/>
        </w:rPr>
        <w:t xml:space="preserve"> </w:t>
      </w:r>
      <w:r w:rsidR="00693B97" w:rsidRPr="00E42B7D">
        <w:rPr>
          <w:rFonts w:ascii="Arial" w:hAnsi="Arial" w:cs="Arial"/>
          <w:sz w:val="24"/>
        </w:rPr>
        <w:tab/>
      </w:r>
      <w:r w:rsidRPr="00136AB9">
        <w:rPr>
          <w:rFonts w:ascii="Arial" w:hAnsi="Arial" w:cs="Arial"/>
          <w:b w:val="0"/>
          <w:sz w:val="24"/>
        </w:rPr>
        <w:t>21 June</w:t>
      </w:r>
      <w:r w:rsidR="00354084" w:rsidRPr="00136AB9">
        <w:rPr>
          <w:rFonts w:ascii="Arial" w:hAnsi="Arial" w:cs="Arial"/>
          <w:b w:val="0"/>
          <w:sz w:val="24"/>
        </w:rPr>
        <w:t xml:space="preserve"> 201</w:t>
      </w:r>
      <w:r w:rsidR="00B03BB8" w:rsidRPr="00136AB9">
        <w:rPr>
          <w:rFonts w:ascii="Arial" w:hAnsi="Arial" w:cs="Arial"/>
          <w:b w:val="0"/>
          <w:sz w:val="24"/>
        </w:rPr>
        <w:t>8</w:t>
      </w:r>
      <w:r w:rsidR="00354084">
        <w:rPr>
          <w:rFonts w:ascii="Arial" w:hAnsi="Arial" w:cs="Arial"/>
          <w:sz w:val="24"/>
        </w:rPr>
        <w:tab/>
      </w:r>
      <w:r w:rsidR="00354084" w:rsidRPr="001175E5">
        <w:rPr>
          <w:rFonts w:ascii="Arial" w:hAnsi="Arial" w:cs="Arial"/>
          <w:b w:val="0"/>
          <w:sz w:val="24"/>
        </w:rPr>
        <w:tab/>
      </w:r>
      <w:r w:rsidR="00354084">
        <w:rPr>
          <w:rFonts w:ascii="Arial" w:hAnsi="Arial" w:cs="Arial"/>
          <w:b w:val="0"/>
          <w:sz w:val="24"/>
        </w:rPr>
        <w:tab/>
      </w:r>
    </w:p>
    <w:p w:rsidR="00354084" w:rsidRPr="00682309" w:rsidRDefault="00354084" w:rsidP="005E2907">
      <w:pPr>
        <w:tabs>
          <w:tab w:val="left" w:pos="2835"/>
        </w:tabs>
        <w:ind w:left="3255" w:right="183" w:hanging="3255"/>
        <w:rPr>
          <w:rFonts w:ascii="Arial" w:hAnsi="Arial" w:cs="Arial"/>
        </w:rPr>
      </w:pPr>
      <w:r w:rsidRPr="00682309">
        <w:rPr>
          <w:rFonts w:ascii="Arial" w:hAnsi="Arial" w:cs="Arial"/>
          <w:b/>
          <w:bCs/>
        </w:rPr>
        <w:t xml:space="preserve">Subject: </w:t>
      </w:r>
      <w:r w:rsidRPr="00682309">
        <w:rPr>
          <w:rFonts w:ascii="Arial" w:hAnsi="Arial" w:cs="Arial"/>
          <w:b/>
          <w:bCs/>
        </w:rPr>
        <w:tab/>
      </w:r>
      <w:r>
        <w:rPr>
          <w:rFonts w:ascii="Arial" w:hAnsi="Arial" w:cs="Arial"/>
          <w:b/>
          <w:bCs/>
        </w:rPr>
        <w:tab/>
      </w:r>
      <w:r w:rsidR="00906177">
        <w:rPr>
          <w:rFonts w:ascii="Arial" w:hAnsi="Arial" w:cs="Arial"/>
          <w:bCs/>
        </w:rPr>
        <w:t xml:space="preserve">Property and Asset Management Strategy </w:t>
      </w:r>
      <w:r w:rsidR="0010061E">
        <w:rPr>
          <w:rFonts w:ascii="Arial" w:hAnsi="Arial" w:cs="Arial"/>
          <w:bCs/>
        </w:rPr>
        <w:t xml:space="preserve">(PAMS) </w:t>
      </w:r>
      <w:r w:rsidR="00906177">
        <w:rPr>
          <w:rFonts w:ascii="Arial" w:hAnsi="Arial" w:cs="Arial"/>
          <w:bCs/>
        </w:rPr>
        <w:t>Interim Update 2018</w:t>
      </w:r>
    </w:p>
    <w:p w:rsidR="00354084" w:rsidRPr="00682309" w:rsidRDefault="00354084" w:rsidP="00037BDB">
      <w:pPr>
        <w:ind w:right="183"/>
        <w:rPr>
          <w:rFonts w:ascii="Arial" w:hAnsi="Arial" w:cs="Arial"/>
          <w:b/>
          <w:bCs/>
        </w:rPr>
      </w:pPr>
      <w:r w:rsidRPr="00682309">
        <w:rPr>
          <w:rFonts w:ascii="Arial" w:hAnsi="Arial" w:cs="Arial"/>
          <w:b/>
          <w:bCs/>
        </w:rPr>
        <w:tab/>
      </w:r>
    </w:p>
    <w:p w:rsidR="00354084" w:rsidRPr="00682309" w:rsidRDefault="00354084" w:rsidP="006C701E">
      <w:pPr>
        <w:tabs>
          <w:tab w:val="left" w:pos="3261"/>
        </w:tabs>
        <w:ind w:left="3255" w:right="183" w:hanging="3255"/>
        <w:rPr>
          <w:rFonts w:ascii="Arial" w:hAnsi="Arial" w:cs="Arial"/>
        </w:rPr>
      </w:pPr>
      <w:r w:rsidRPr="00682309">
        <w:rPr>
          <w:rFonts w:ascii="Arial" w:hAnsi="Arial" w:cs="Arial"/>
          <w:b/>
          <w:bCs/>
        </w:rPr>
        <w:t>Recommendation:</w:t>
      </w:r>
      <w:r w:rsidRPr="00682309">
        <w:rPr>
          <w:rFonts w:ascii="Arial" w:hAnsi="Arial" w:cs="Arial"/>
          <w:b/>
          <w:bCs/>
        </w:rPr>
        <w:tab/>
      </w:r>
      <w:r>
        <w:rPr>
          <w:rFonts w:ascii="Arial" w:hAnsi="Arial" w:cs="Arial"/>
          <w:b/>
          <w:bCs/>
        </w:rPr>
        <w:tab/>
      </w:r>
      <w:r w:rsidR="0010061E" w:rsidRPr="0010061E">
        <w:rPr>
          <w:rFonts w:ascii="Arial" w:hAnsi="Arial" w:cs="Arial"/>
          <w:bCs/>
        </w:rPr>
        <w:t>Board</w:t>
      </w:r>
      <w:r w:rsidR="0010061E">
        <w:rPr>
          <w:rFonts w:ascii="Arial" w:hAnsi="Arial" w:cs="Arial"/>
          <w:b/>
          <w:bCs/>
        </w:rPr>
        <w:t xml:space="preserve"> </w:t>
      </w:r>
      <w:r w:rsidRPr="00FB7212">
        <w:rPr>
          <w:rFonts w:ascii="Arial" w:hAnsi="Arial" w:cs="Arial"/>
        </w:rPr>
        <w:t xml:space="preserve">Members are asked to </w:t>
      </w:r>
      <w:r w:rsidR="0010061E">
        <w:rPr>
          <w:rFonts w:ascii="Arial" w:hAnsi="Arial" w:cs="Arial"/>
        </w:rPr>
        <w:t xml:space="preserve">discuss and </w:t>
      </w:r>
      <w:r w:rsidR="00906177">
        <w:rPr>
          <w:rFonts w:ascii="Arial" w:hAnsi="Arial" w:cs="Arial"/>
        </w:rPr>
        <w:t xml:space="preserve">approve the interim update to the </w:t>
      </w:r>
      <w:r w:rsidR="0010061E">
        <w:rPr>
          <w:rFonts w:ascii="Arial" w:hAnsi="Arial" w:cs="Arial"/>
          <w:bCs/>
        </w:rPr>
        <w:t>Property and Asset Management Strategy</w:t>
      </w:r>
      <w:r w:rsidR="00906177">
        <w:rPr>
          <w:rFonts w:ascii="Arial" w:hAnsi="Arial" w:cs="Arial"/>
        </w:rPr>
        <w:t xml:space="preserve">. </w:t>
      </w:r>
    </w:p>
    <w:p w:rsidR="00354084" w:rsidRPr="00682309" w:rsidRDefault="00354084" w:rsidP="00037BDB">
      <w:pPr>
        <w:ind w:right="-483"/>
        <w:rPr>
          <w:rFonts w:ascii="Arial" w:hAnsi="Arial" w:cs="Arial"/>
          <w:b/>
          <w:bCs/>
        </w:rPr>
      </w:pPr>
      <w:r>
        <w:rPr>
          <w:rFonts w:ascii="Arial" w:hAnsi="Arial" w:cs="Arial"/>
          <w:b/>
          <w:bCs/>
        </w:rPr>
        <w:t>__________________________________________________</w:t>
      </w:r>
      <w:r w:rsidR="00136AB9">
        <w:rPr>
          <w:rFonts w:ascii="Arial" w:hAnsi="Arial" w:cs="Arial"/>
          <w:b/>
          <w:bCs/>
        </w:rPr>
        <w:softHyphen/>
      </w:r>
      <w:r w:rsidR="00136AB9">
        <w:rPr>
          <w:rFonts w:ascii="Arial" w:hAnsi="Arial" w:cs="Arial"/>
          <w:b/>
          <w:bCs/>
        </w:rPr>
        <w:softHyphen/>
      </w:r>
      <w:r w:rsidR="00136AB9">
        <w:rPr>
          <w:rFonts w:ascii="Arial" w:hAnsi="Arial" w:cs="Arial"/>
          <w:b/>
          <w:bCs/>
        </w:rPr>
        <w:softHyphen/>
      </w:r>
      <w:r w:rsidR="00136AB9">
        <w:rPr>
          <w:rFonts w:ascii="Arial" w:hAnsi="Arial" w:cs="Arial"/>
          <w:b/>
          <w:bCs/>
        </w:rPr>
        <w:softHyphen/>
      </w:r>
      <w:r w:rsidR="00136AB9">
        <w:rPr>
          <w:rFonts w:ascii="Arial" w:hAnsi="Arial" w:cs="Arial"/>
          <w:b/>
          <w:bCs/>
        </w:rPr>
        <w:softHyphen/>
        <w:t>____________</w:t>
      </w:r>
    </w:p>
    <w:p w:rsidR="00354084" w:rsidRPr="00FB7212" w:rsidRDefault="00354084">
      <w:pPr>
        <w:pStyle w:val="BodyTextIndent2"/>
        <w:ind w:left="0"/>
        <w:rPr>
          <w:rFonts w:ascii="Arial" w:hAnsi="Arial" w:cs="Arial"/>
          <w:sz w:val="16"/>
        </w:rPr>
      </w:pPr>
    </w:p>
    <w:p w:rsidR="00354084" w:rsidRDefault="00354084" w:rsidP="00F77BF0">
      <w:pPr>
        <w:pStyle w:val="Heading4"/>
        <w:numPr>
          <w:ilvl w:val="0"/>
          <w:numId w:val="3"/>
        </w:numPr>
        <w:rPr>
          <w:rFonts w:ascii="Arial" w:hAnsi="Arial" w:cs="Arial"/>
        </w:rPr>
      </w:pPr>
      <w:r w:rsidRPr="00FB7212">
        <w:rPr>
          <w:rFonts w:ascii="Arial" w:hAnsi="Arial" w:cs="Arial"/>
        </w:rPr>
        <w:t>Introduction/Key Issues</w:t>
      </w:r>
    </w:p>
    <w:p w:rsidR="00E22C0E" w:rsidRDefault="00E22C0E" w:rsidP="00E22C0E"/>
    <w:p w:rsidR="0010061E" w:rsidRDefault="00E22C0E" w:rsidP="0010061E">
      <w:pPr>
        <w:tabs>
          <w:tab w:val="center" w:pos="4513"/>
          <w:tab w:val="right" w:pos="9026"/>
        </w:tabs>
        <w:ind w:left="360"/>
        <w:rPr>
          <w:rFonts w:ascii="Arial" w:hAnsi="Arial" w:cs="Arial"/>
        </w:rPr>
      </w:pPr>
      <w:r>
        <w:rPr>
          <w:rFonts w:ascii="Arial" w:hAnsi="Arial" w:cs="Arial"/>
        </w:rPr>
        <w:t xml:space="preserve">A full Property </w:t>
      </w:r>
      <w:r w:rsidR="001266C0">
        <w:rPr>
          <w:rFonts w:ascii="Arial" w:hAnsi="Arial" w:cs="Arial"/>
        </w:rPr>
        <w:t>and</w:t>
      </w:r>
      <w:r>
        <w:rPr>
          <w:rFonts w:ascii="Arial" w:hAnsi="Arial" w:cs="Arial"/>
        </w:rPr>
        <w:t xml:space="preserve"> Asset Management Strategy (PAMS) covering the period 1 April 2017 to 31 March 2022 was submitted to and approved by the Board in May 2017. </w:t>
      </w:r>
    </w:p>
    <w:p w:rsidR="0010061E" w:rsidRDefault="0010061E" w:rsidP="0010061E">
      <w:pPr>
        <w:tabs>
          <w:tab w:val="center" w:pos="4513"/>
          <w:tab w:val="right" w:pos="9026"/>
        </w:tabs>
        <w:ind w:left="360"/>
        <w:rPr>
          <w:rFonts w:ascii="Arial" w:hAnsi="Arial" w:cs="Arial"/>
        </w:rPr>
      </w:pPr>
    </w:p>
    <w:p w:rsidR="0010061E" w:rsidRDefault="00E22C0E" w:rsidP="0010061E">
      <w:pPr>
        <w:tabs>
          <w:tab w:val="center" w:pos="4513"/>
          <w:tab w:val="right" w:pos="9026"/>
        </w:tabs>
        <w:ind w:left="360"/>
        <w:rPr>
          <w:rFonts w:ascii="Arial" w:hAnsi="Arial" w:cs="Arial"/>
        </w:rPr>
      </w:pPr>
      <w:r>
        <w:rPr>
          <w:rFonts w:ascii="Arial" w:hAnsi="Arial" w:cs="Arial"/>
        </w:rPr>
        <w:t xml:space="preserve">This Interim Update 2018 provides a progress report on the </w:t>
      </w:r>
      <w:r w:rsidRPr="00D25F39">
        <w:rPr>
          <w:rFonts w:ascii="Arial" w:hAnsi="Arial" w:cs="Arial"/>
        </w:rPr>
        <w:t>management of existing assets and updat</w:t>
      </w:r>
      <w:r>
        <w:rPr>
          <w:rFonts w:ascii="Arial" w:hAnsi="Arial" w:cs="Arial"/>
        </w:rPr>
        <w:t xml:space="preserve">es on new and existing projects. </w:t>
      </w:r>
    </w:p>
    <w:p w:rsidR="0010061E" w:rsidRDefault="0010061E" w:rsidP="0010061E">
      <w:pPr>
        <w:tabs>
          <w:tab w:val="center" w:pos="4513"/>
          <w:tab w:val="right" w:pos="9026"/>
        </w:tabs>
        <w:ind w:left="360"/>
        <w:rPr>
          <w:rFonts w:ascii="Arial" w:hAnsi="Arial" w:cs="Arial"/>
        </w:rPr>
      </w:pPr>
    </w:p>
    <w:p w:rsidR="00E22C0E" w:rsidRDefault="00E22C0E" w:rsidP="0010061E">
      <w:pPr>
        <w:tabs>
          <w:tab w:val="center" w:pos="4513"/>
          <w:tab w:val="right" w:pos="9026"/>
        </w:tabs>
        <w:ind w:left="360"/>
        <w:rPr>
          <w:rFonts w:ascii="Arial" w:hAnsi="Arial" w:cs="Arial"/>
        </w:rPr>
      </w:pPr>
      <w:r>
        <w:rPr>
          <w:rFonts w:ascii="Arial" w:hAnsi="Arial" w:cs="Arial"/>
        </w:rPr>
        <w:t>The attached report addresse</w:t>
      </w:r>
      <w:r w:rsidR="007061F3">
        <w:rPr>
          <w:rFonts w:ascii="Arial" w:hAnsi="Arial" w:cs="Arial"/>
        </w:rPr>
        <w:t>s</w:t>
      </w:r>
      <w:r>
        <w:rPr>
          <w:rFonts w:ascii="Arial" w:hAnsi="Arial" w:cs="Arial"/>
        </w:rPr>
        <w:t xml:space="preserve"> the following points:</w:t>
      </w:r>
    </w:p>
    <w:p w:rsidR="00E22C0E" w:rsidRDefault="00E22C0E" w:rsidP="0010061E">
      <w:pPr>
        <w:tabs>
          <w:tab w:val="center" w:pos="4513"/>
          <w:tab w:val="right" w:pos="9026"/>
        </w:tabs>
        <w:rPr>
          <w:rFonts w:ascii="Arial" w:hAnsi="Arial" w:cs="Arial"/>
        </w:rPr>
      </w:pPr>
    </w:p>
    <w:p w:rsidR="00E22C0E" w:rsidRPr="003C6ED5" w:rsidRDefault="00E22C0E" w:rsidP="0010061E">
      <w:pPr>
        <w:numPr>
          <w:ilvl w:val="0"/>
          <w:numId w:val="34"/>
        </w:numPr>
        <w:tabs>
          <w:tab w:val="center" w:pos="4513"/>
          <w:tab w:val="right" w:pos="9026"/>
        </w:tabs>
        <w:ind w:left="720"/>
        <w:rPr>
          <w:rFonts w:ascii="Arial" w:hAnsi="Arial" w:cs="Arial"/>
        </w:rPr>
      </w:pPr>
      <w:r w:rsidRPr="003C6ED5">
        <w:rPr>
          <w:rFonts w:ascii="Arial" w:hAnsi="Arial" w:cs="Arial"/>
        </w:rPr>
        <w:t>How the Services’ asset management arrangements are supporting regional working and future investment planning.</w:t>
      </w:r>
    </w:p>
    <w:p w:rsidR="00E22C0E" w:rsidRPr="003C6ED5" w:rsidRDefault="00E22C0E" w:rsidP="0010061E">
      <w:pPr>
        <w:numPr>
          <w:ilvl w:val="0"/>
          <w:numId w:val="34"/>
        </w:numPr>
        <w:tabs>
          <w:tab w:val="center" w:pos="4513"/>
          <w:tab w:val="right" w:pos="9026"/>
        </w:tabs>
        <w:ind w:left="720"/>
        <w:rPr>
          <w:rFonts w:ascii="Arial" w:hAnsi="Arial" w:cs="Arial"/>
        </w:rPr>
      </w:pPr>
      <w:r w:rsidRPr="003C6ED5">
        <w:rPr>
          <w:rFonts w:ascii="Arial" w:hAnsi="Arial" w:cs="Arial"/>
        </w:rPr>
        <w:t>Any substantial changes to local and/or regional strategic/service plans since submission of 2017/18 PAMS.</w:t>
      </w:r>
    </w:p>
    <w:p w:rsidR="00E22C0E" w:rsidRPr="003C6ED5" w:rsidRDefault="00E22C0E" w:rsidP="0010061E">
      <w:pPr>
        <w:numPr>
          <w:ilvl w:val="0"/>
          <w:numId w:val="34"/>
        </w:numPr>
        <w:tabs>
          <w:tab w:val="center" w:pos="4513"/>
          <w:tab w:val="right" w:pos="9026"/>
        </w:tabs>
        <w:ind w:left="720"/>
        <w:rPr>
          <w:rFonts w:ascii="Arial" w:hAnsi="Arial" w:cs="Arial"/>
        </w:rPr>
      </w:pPr>
      <w:r w:rsidRPr="003C6ED5">
        <w:rPr>
          <w:rFonts w:ascii="Arial" w:hAnsi="Arial" w:cs="Arial"/>
        </w:rPr>
        <w:t>Changes/improvements to asset performance (including backlog maintenance) over the last 12 months.</w:t>
      </w:r>
    </w:p>
    <w:p w:rsidR="00E22C0E" w:rsidRPr="003C6ED5" w:rsidRDefault="00E22C0E" w:rsidP="0010061E">
      <w:pPr>
        <w:numPr>
          <w:ilvl w:val="0"/>
          <w:numId w:val="34"/>
        </w:numPr>
        <w:tabs>
          <w:tab w:val="center" w:pos="4513"/>
          <w:tab w:val="right" w:pos="9026"/>
        </w:tabs>
        <w:ind w:left="720"/>
        <w:rPr>
          <w:rFonts w:ascii="Arial" w:hAnsi="Arial" w:cs="Arial"/>
        </w:rPr>
      </w:pPr>
      <w:r w:rsidRPr="003C6ED5">
        <w:rPr>
          <w:rFonts w:ascii="Arial" w:hAnsi="Arial" w:cs="Arial"/>
        </w:rPr>
        <w:t>Progress with any ongoing or new investment projects, particularly highlighting any specific achievements or anticipated benefits.</w:t>
      </w:r>
    </w:p>
    <w:p w:rsidR="00354084" w:rsidRPr="003C6ED5" w:rsidRDefault="00E22C0E" w:rsidP="0010061E">
      <w:pPr>
        <w:numPr>
          <w:ilvl w:val="0"/>
          <w:numId w:val="34"/>
        </w:numPr>
        <w:tabs>
          <w:tab w:val="center" w:pos="4513"/>
          <w:tab w:val="right" w:pos="9026"/>
        </w:tabs>
        <w:ind w:left="720"/>
        <w:rPr>
          <w:rFonts w:ascii="Arial" w:hAnsi="Arial" w:cs="Arial"/>
        </w:rPr>
      </w:pPr>
      <w:r w:rsidRPr="003C6ED5">
        <w:rPr>
          <w:rFonts w:ascii="Arial" w:hAnsi="Arial" w:cs="Arial"/>
        </w:rPr>
        <w:t>A copy of Strategic Assessments for all investment projects not currently underway identified within the 5 year investment projects.</w:t>
      </w:r>
    </w:p>
    <w:p w:rsidR="00E22C0E" w:rsidRDefault="00E22C0E" w:rsidP="00E22C0E">
      <w:pPr>
        <w:tabs>
          <w:tab w:val="center" w:pos="4513"/>
          <w:tab w:val="right" w:pos="9026"/>
        </w:tabs>
        <w:rPr>
          <w:rFonts w:ascii="Arial" w:hAnsi="Arial" w:cs="Arial"/>
          <w:highlight w:val="yellow"/>
        </w:rPr>
      </w:pPr>
    </w:p>
    <w:p w:rsidR="00E22C0E" w:rsidRDefault="00E22C0E" w:rsidP="00E22C0E">
      <w:pPr>
        <w:pStyle w:val="Heading4"/>
        <w:numPr>
          <w:ilvl w:val="0"/>
          <w:numId w:val="3"/>
        </w:numPr>
        <w:rPr>
          <w:rFonts w:ascii="Arial" w:hAnsi="Arial" w:cs="Arial"/>
        </w:rPr>
      </w:pPr>
      <w:r>
        <w:rPr>
          <w:rFonts w:ascii="Arial" w:hAnsi="Arial" w:cs="Arial"/>
        </w:rPr>
        <w:t>Update</w:t>
      </w:r>
    </w:p>
    <w:p w:rsidR="00E22C0E" w:rsidRDefault="00E22C0E" w:rsidP="00E22C0E"/>
    <w:p w:rsidR="00E22C0E" w:rsidRDefault="001F29F1" w:rsidP="001F29F1">
      <w:pPr>
        <w:tabs>
          <w:tab w:val="center" w:pos="4513"/>
          <w:tab w:val="right" w:pos="9026"/>
        </w:tabs>
        <w:ind w:left="360"/>
        <w:rPr>
          <w:rFonts w:ascii="Arial" w:hAnsi="Arial" w:cs="Arial"/>
        </w:rPr>
      </w:pPr>
      <w:r w:rsidRPr="001F29F1">
        <w:rPr>
          <w:rFonts w:ascii="Arial" w:hAnsi="Arial" w:cs="Arial"/>
        </w:rPr>
        <w:t>The detailed update to the PAMS is attached to this paper and comprises the following sections:</w:t>
      </w:r>
    </w:p>
    <w:p w:rsidR="001F29F1" w:rsidRDefault="001F29F1" w:rsidP="001F29F1">
      <w:pPr>
        <w:tabs>
          <w:tab w:val="center" w:pos="4513"/>
          <w:tab w:val="right" w:pos="9026"/>
        </w:tabs>
        <w:ind w:left="360"/>
        <w:rPr>
          <w:rFonts w:ascii="Arial" w:hAnsi="Arial" w:cs="Arial"/>
        </w:rPr>
      </w:pPr>
    </w:p>
    <w:p w:rsidR="001F29F1" w:rsidRDefault="001F29F1" w:rsidP="001F29F1">
      <w:pPr>
        <w:pStyle w:val="ListParagraph"/>
        <w:numPr>
          <w:ilvl w:val="0"/>
          <w:numId w:val="35"/>
        </w:numPr>
        <w:tabs>
          <w:tab w:val="center" w:pos="4513"/>
          <w:tab w:val="right" w:pos="9026"/>
        </w:tabs>
        <w:rPr>
          <w:rFonts w:ascii="Arial" w:hAnsi="Arial" w:cs="Arial"/>
          <w:sz w:val="24"/>
          <w:szCs w:val="24"/>
        </w:rPr>
      </w:pPr>
      <w:r w:rsidRPr="001F29F1">
        <w:rPr>
          <w:rFonts w:ascii="Arial" w:hAnsi="Arial" w:cs="Arial"/>
          <w:sz w:val="24"/>
          <w:szCs w:val="24"/>
        </w:rPr>
        <w:t>Purpose;</w:t>
      </w:r>
    </w:p>
    <w:p w:rsidR="009E7671" w:rsidRDefault="009E7671" w:rsidP="001F29F1">
      <w:pPr>
        <w:pStyle w:val="ListParagraph"/>
        <w:numPr>
          <w:ilvl w:val="0"/>
          <w:numId w:val="35"/>
        </w:numPr>
        <w:tabs>
          <w:tab w:val="center" w:pos="4513"/>
          <w:tab w:val="right" w:pos="9026"/>
        </w:tabs>
        <w:rPr>
          <w:rFonts w:ascii="Arial" w:hAnsi="Arial" w:cs="Arial"/>
          <w:sz w:val="24"/>
          <w:szCs w:val="24"/>
        </w:rPr>
      </w:pPr>
      <w:r>
        <w:rPr>
          <w:rFonts w:ascii="Arial" w:hAnsi="Arial" w:cs="Arial"/>
          <w:sz w:val="24"/>
          <w:szCs w:val="24"/>
        </w:rPr>
        <w:t>Strategic update:</w:t>
      </w:r>
    </w:p>
    <w:p w:rsidR="001F29F1" w:rsidRDefault="001F29F1" w:rsidP="009E7671">
      <w:pPr>
        <w:pStyle w:val="ListParagraph"/>
        <w:numPr>
          <w:ilvl w:val="1"/>
          <w:numId w:val="35"/>
        </w:numPr>
        <w:tabs>
          <w:tab w:val="center" w:pos="4513"/>
          <w:tab w:val="right" w:pos="9026"/>
        </w:tabs>
        <w:rPr>
          <w:rFonts w:ascii="Arial" w:hAnsi="Arial" w:cs="Arial"/>
          <w:sz w:val="24"/>
          <w:szCs w:val="24"/>
        </w:rPr>
      </w:pPr>
      <w:r>
        <w:rPr>
          <w:rFonts w:ascii="Arial" w:hAnsi="Arial" w:cs="Arial"/>
          <w:sz w:val="24"/>
          <w:szCs w:val="24"/>
        </w:rPr>
        <w:t>Regional working;</w:t>
      </w:r>
    </w:p>
    <w:p w:rsidR="001F29F1" w:rsidRDefault="001F29F1" w:rsidP="009E7671">
      <w:pPr>
        <w:pStyle w:val="ListParagraph"/>
        <w:numPr>
          <w:ilvl w:val="1"/>
          <w:numId w:val="35"/>
        </w:numPr>
        <w:tabs>
          <w:tab w:val="center" w:pos="4513"/>
          <w:tab w:val="right" w:pos="9026"/>
        </w:tabs>
        <w:rPr>
          <w:rFonts w:ascii="Arial" w:hAnsi="Arial" w:cs="Arial"/>
          <w:sz w:val="24"/>
          <w:szCs w:val="24"/>
        </w:rPr>
      </w:pPr>
      <w:r>
        <w:rPr>
          <w:rFonts w:ascii="Arial" w:hAnsi="Arial" w:cs="Arial"/>
          <w:sz w:val="24"/>
          <w:szCs w:val="24"/>
        </w:rPr>
        <w:t>National context;</w:t>
      </w:r>
    </w:p>
    <w:p w:rsidR="009E7671" w:rsidRPr="001F29F1" w:rsidRDefault="009E7671" w:rsidP="009E7671">
      <w:pPr>
        <w:pStyle w:val="ListParagraph"/>
        <w:numPr>
          <w:ilvl w:val="1"/>
          <w:numId w:val="35"/>
        </w:numPr>
        <w:tabs>
          <w:tab w:val="center" w:pos="4513"/>
          <w:tab w:val="right" w:pos="9026"/>
        </w:tabs>
        <w:spacing w:after="0" w:line="240" w:lineRule="auto"/>
        <w:rPr>
          <w:rFonts w:ascii="Arial" w:hAnsi="Arial" w:cs="Arial"/>
          <w:sz w:val="24"/>
          <w:szCs w:val="24"/>
        </w:rPr>
      </w:pPr>
      <w:r>
        <w:rPr>
          <w:rFonts w:ascii="Arial" w:hAnsi="Arial" w:cs="Arial"/>
          <w:sz w:val="24"/>
          <w:szCs w:val="24"/>
        </w:rPr>
        <w:t>Local context for change;</w:t>
      </w:r>
    </w:p>
    <w:p w:rsidR="001F29F1" w:rsidRPr="009E7671" w:rsidRDefault="00DB6FC1" w:rsidP="009E7671">
      <w:pPr>
        <w:pStyle w:val="ListParagraph"/>
        <w:numPr>
          <w:ilvl w:val="1"/>
          <w:numId w:val="35"/>
        </w:numPr>
        <w:tabs>
          <w:tab w:val="center" w:pos="4513"/>
          <w:tab w:val="right" w:pos="9026"/>
        </w:tabs>
        <w:spacing w:after="0" w:line="240" w:lineRule="auto"/>
        <w:rPr>
          <w:rFonts w:ascii="Arial" w:hAnsi="Arial" w:cs="Arial"/>
          <w:sz w:val="24"/>
          <w:szCs w:val="24"/>
        </w:rPr>
      </w:pPr>
      <w:r w:rsidRPr="009E7671">
        <w:rPr>
          <w:rFonts w:ascii="Arial" w:hAnsi="Arial" w:cs="Arial"/>
          <w:sz w:val="24"/>
          <w:szCs w:val="24"/>
        </w:rPr>
        <w:lastRenderedPageBreak/>
        <w:t>Master plan</w:t>
      </w:r>
      <w:r w:rsidR="001F29F1" w:rsidRPr="009E7671">
        <w:rPr>
          <w:rFonts w:ascii="Arial" w:hAnsi="Arial" w:cs="Arial"/>
          <w:sz w:val="24"/>
          <w:szCs w:val="24"/>
        </w:rPr>
        <w:t xml:space="preserve"> update;</w:t>
      </w:r>
    </w:p>
    <w:p w:rsidR="001F29F1" w:rsidRPr="001F29F1" w:rsidRDefault="001F29F1" w:rsidP="001F29F1">
      <w:pPr>
        <w:pStyle w:val="ListParagraph"/>
        <w:numPr>
          <w:ilvl w:val="0"/>
          <w:numId w:val="35"/>
        </w:numPr>
        <w:tabs>
          <w:tab w:val="center" w:pos="4513"/>
          <w:tab w:val="right" w:pos="9026"/>
        </w:tabs>
        <w:rPr>
          <w:rFonts w:ascii="Arial" w:hAnsi="Arial" w:cs="Arial"/>
          <w:sz w:val="24"/>
          <w:szCs w:val="24"/>
        </w:rPr>
      </w:pPr>
      <w:r w:rsidRPr="001F29F1">
        <w:rPr>
          <w:rFonts w:ascii="Arial" w:hAnsi="Arial" w:cs="Arial"/>
          <w:sz w:val="24"/>
          <w:szCs w:val="24"/>
        </w:rPr>
        <w:t xml:space="preserve">Asset Performance; </w:t>
      </w:r>
    </w:p>
    <w:p w:rsidR="001F29F1" w:rsidRPr="001F29F1" w:rsidRDefault="001F29F1" w:rsidP="001F29F1">
      <w:pPr>
        <w:pStyle w:val="ListParagraph"/>
        <w:numPr>
          <w:ilvl w:val="0"/>
          <w:numId w:val="35"/>
        </w:numPr>
        <w:tabs>
          <w:tab w:val="center" w:pos="4513"/>
          <w:tab w:val="right" w:pos="9026"/>
        </w:tabs>
        <w:rPr>
          <w:rFonts w:ascii="Arial" w:hAnsi="Arial" w:cs="Arial"/>
          <w:sz w:val="24"/>
          <w:szCs w:val="24"/>
        </w:rPr>
      </w:pPr>
      <w:r w:rsidRPr="001F29F1">
        <w:rPr>
          <w:rFonts w:ascii="Arial" w:hAnsi="Arial" w:cs="Arial"/>
          <w:sz w:val="24"/>
          <w:szCs w:val="24"/>
        </w:rPr>
        <w:t>Update on projects</w:t>
      </w:r>
      <w:r w:rsidR="0010061E">
        <w:rPr>
          <w:rFonts w:ascii="Arial" w:hAnsi="Arial" w:cs="Arial"/>
          <w:sz w:val="24"/>
          <w:szCs w:val="24"/>
        </w:rPr>
        <w:t xml:space="preserve"> </w:t>
      </w:r>
      <w:r w:rsidRPr="001F29F1">
        <w:rPr>
          <w:rFonts w:ascii="Arial" w:hAnsi="Arial" w:cs="Arial"/>
          <w:sz w:val="24"/>
          <w:szCs w:val="24"/>
        </w:rPr>
        <w:t>highlighted in 2017/18 strategy; and</w:t>
      </w:r>
    </w:p>
    <w:p w:rsidR="0013588E" w:rsidRDefault="001F29F1" w:rsidP="006D4EC5">
      <w:pPr>
        <w:pStyle w:val="ListParagraph"/>
        <w:numPr>
          <w:ilvl w:val="0"/>
          <w:numId w:val="35"/>
        </w:numPr>
        <w:tabs>
          <w:tab w:val="center" w:pos="4513"/>
          <w:tab w:val="right" w:pos="9026"/>
        </w:tabs>
        <w:rPr>
          <w:rFonts w:ascii="Arial" w:hAnsi="Arial" w:cs="Arial"/>
          <w:sz w:val="24"/>
          <w:szCs w:val="24"/>
        </w:rPr>
      </w:pPr>
      <w:r w:rsidRPr="001F29F1">
        <w:rPr>
          <w:rFonts w:ascii="Arial" w:hAnsi="Arial" w:cs="Arial"/>
          <w:sz w:val="24"/>
          <w:szCs w:val="24"/>
        </w:rPr>
        <w:t xml:space="preserve">Strategic </w:t>
      </w:r>
      <w:r w:rsidR="0010061E">
        <w:rPr>
          <w:rFonts w:ascii="Arial" w:hAnsi="Arial" w:cs="Arial"/>
          <w:sz w:val="24"/>
          <w:szCs w:val="24"/>
        </w:rPr>
        <w:t>A</w:t>
      </w:r>
      <w:r w:rsidRPr="001F29F1">
        <w:rPr>
          <w:rFonts w:ascii="Arial" w:hAnsi="Arial" w:cs="Arial"/>
          <w:sz w:val="24"/>
          <w:szCs w:val="24"/>
        </w:rPr>
        <w:t>ssessments</w:t>
      </w:r>
      <w:r w:rsidR="0013588E">
        <w:rPr>
          <w:rFonts w:ascii="Arial" w:hAnsi="Arial" w:cs="Arial"/>
          <w:sz w:val="24"/>
          <w:szCs w:val="24"/>
        </w:rPr>
        <w:t>/Initial Agreements.</w:t>
      </w:r>
    </w:p>
    <w:p w:rsidR="00354084" w:rsidRDefault="00E22C0E" w:rsidP="00E23B04">
      <w:pPr>
        <w:pStyle w:val="Heading4"/>
        <w:numPr>
          <w:ilvl w:val="0"/>
          <w:numId w:val="3"/>
        </w:numPr>
        <w:rPr>
          <w:rFonts w:ascii="Arial" w:hAnsi="Arial" w:cs="Arial"/>
        </w:rPr>
      </w:pPr>
      <w:r>
        <w:rPr>
          <w:rFonts w:ascii="Arial" w:hAnsi="Arial" w:cs="Arial"/>
        </w:rPr>
        <w:t>Next Steps</w:t>
      </w:r>
    </w:p>
    <w:p w:rsidR="00E22C0E" w:rsidRDefault="00E22C0E" w:rsidP="00E22C0E"/>
    <w:p w:rsidR="00E22C0E" w:rsidRPr="005E2907" w:rsidRDefault="00E22C0E" w:rsidP="00E22C0E">
      <w:pPr>
        <w:ind w:left="360"/>
        <w:rPr>
          <w:rFonts w:ascii="Arial" w:hAnsi="Arial" w:cs="Arial"/>
        </w:rPr>
      </w:pPr>
      <w:r w:rsidRPr="005E2907">
        <w:rPr>
          <w:rFonts w:ascii="Arial" w:hAnsi="Arial" w:cs="Arial"/>
        </w:rPr>
        <w:t>Following approval by the PAMS group</w:t>
      </w:r>
      <w:r w:rsidR="005E2907" w:rsidRPr="005E2907">
        <w:rPr>
          <w:rFonts w:ascii="Arial" w:hAnsi="Arial" w:cs="Arial"/>
        </w:rPr>
        <w:t>, the Interim Update was submitted to Scottish Government in draft subject to being approved by the Senior Management Team (SMT) and Board.</w:t>
      </w:r>
      <w:r w:rsidRPr="005E2907">
        <w:rPr>
          <w:rFonts w:ascii="Arial" w:hAnsi="Arial" w:cs="Arial"/>
        </w:rPr>
        <w:t xml:space="preserve"> </w:t>
      </w:r>
    </w:p>
    <w:p w:rsidR="00E22C0E" w:rsidRPr="0010061E" w:rsidRDefault="00E22C0E" w:rsidP="00E22C0E">
      <w:pPr>
        <w:ind w:left="360"/>
        <w:rPr>
          <w:rFonts w:ascii="Arial" w:hAnsi="Arial" w:cs="Arial"/>
          <w:highlight w:val="yellow"/>
        </w:rPr>
      </w:pPr>
    </w:p>
    <w:p w:rsidR="00E22C0E" w:rsidRPr="00E22C0E" w:rsidRDefault="00E22C0E" w:rsidP="00E22C0E">
      <w:pPr>
        <w:ind w:left="360"/>
        <w:rPr>
          <w:rFonts w:ascii="Arial" w:hAnsi="Arial" w:cs="Arial"/>
        </w:rPr>
      </w:pPr>
      <w:r>
        <w:rPr>
          <w:rFonts w:ascii="Arial" w:hAnsi="Arial" w:cs="Arial"/>
        </w:rPr>
        <w:t xml:space="preserve">A review meeting will be held with </w:t>
      </w:r>
      <w:r w:rsidR="0010061E">
        <w:rPr>
          <w:rFonts w:ascii="Arial" w:hAnsi="Arial" w:cs="Arial"/>
        </w:rPr>
        <w:t>Health Facilities Scotland</w:t>
      </w:r>
      <w:r>
        <w:rPr>
          <w:rFonts w:ascii="Arial" w:hAnsi="Arial" w:cs="Arial"/>
        </w:rPr>
        <w:t xml:space="preserve"> </w:t>
      </w:r>
      <w:r w:rsidR="0010061E">
        <w:rPr>
          <w:rFonts w:ascii="Arial" w:hAnsi="Arial" w:cs="Arial"/>
        </w:rPr>
        <w:t xml:space="preserve">(HFS) </w:t>
      </w:r>
      <w:r>
        <w:rPr>
          <w:rFonts w:ascii="Arial" w:hAnsi="Arial" w:cs="Arial"/>
        </w:rPr>
        <w:t xml:space="preserve">in September to review the submission in detail.  The information contained within the </w:t>
      </w:r>
      <w:r w:rsidR="00DB6FC1">
        <w:rPr>
          <w:rFonts w:ascii="Arial" w:hAnsi="Arial" w:cs="Arial"/>
        </w:rPr>
        <w:t>Board</w:t>
      </w:r>
      <w:r w:rsidR="001266C0">
        <w:rPr>
          <w:rFonts w:ascii="Arial" w:hAnsi="Arial" w:cs="Arial"/>
        </w:rPr>
        <w:t>’</w:t>
      </w:r>
      <w:r w:rsidR="00DB6FC1">
        <w:rPr>
          <w:rFonts w:ascii="Arial" w:hAnsi="Arial" w:cs="Arial"/>
        </w:rPr>
        <w:t>s PAMS</w:t>
      </w:r>
      <w:r>
        <w:rPr>
          <w:rFonts w:ascii="Arial" w:hAnsi="Arial" w:cs="Arial"/>
        </w:rPr>
        <w:t xml:space="preserve"> will be used by HFS to develop the annual State of </w:t>
      </w:r>
      <w:proofErr w:type="spellStart"/>
      <w:r>
        <w:rPr>
          <w:rFonts w:ascii="Arial" w:hAnsi="Arial" w:cs="Arial"/>
        </w:rPr>
        <w:t>NHSScotland</w:t>
      </w:r>
      <w:proofErr w:type="spellEnd"/>
      <w:r>
        <w:rPr>
          <w:rFonts w:ascii="Arial" w:hAnsi="Arial" w:cs="Arial"/>
        </w:rPr>
        <w:t xml:space="preserve"> Assets and Facilities Report</w:t>
      </w:r>
      <w:r w:rsidR="001A068C">
        <w:rPr>
          <w:rFonts w:ascii="Arial" w:hAnsi="Arial" w:cs="Arial"/>
        </w:rPr>
        <w:t>,</w:t>
      </w:r>
      <w:r>
        <w:rPr>
          <w:rFonts w:ascii="Arial" w:hAnsi="Arial" w:cs="Arial"/>
        </w:rPr>
        <w:t xml:space="preserve"> which will be published in early 2019.</w:t>
      </w:r>
    </w:p>
    <w:p w:rsidR="00354084" w:rsidRDefault="00354084" w:rsidP="000902EB">
      <w:pPr>
        <w:rPr>
          <w:rFonts w:ascii="Arial" w:hAnsi="Arial" w:cs="Arial"/>
        </w:rPr>
      </w:pPr>
    </w:p>
    <w:p w:rsidR="00354084" w:rsidRDefault="00354084" w:rsidP="00E23B04">
      <w:pPr>
        <w:pStyle w:val="Heading4"/>
        <w:numPr>
          <w:ilvl w:val="0"/>
          <w:numId w:val="3"/>
        </w:numPr>
        <w:rPr>
          <w:rFonts w:ascii="Arial" w:hAnsi="Arial" w:cs="Arial"/>
        </w:rPr>
      </w:pPr>
      <w:r w:rsidRPr="00FB7212">
        <w:rPr>
          <w:rFonts w:ascii="Arial" w:hAnsi="Arial" w:cs="Arial"/>
        </w:rPr>
        <w:t>Conclusion</w:t>
      </w:r>
    </w:p>
    <w:p w:rsidR="00354084" w:rsidRPr="00FB7212" w:rsidRDefault="00354084">
      <w:pPr>
        <w:rPr>
          <w:rFonts w:ascii="Arial" w:hAnsi="Arial" w:cs="Arial"/>
          <w:b/>
          <w:bCs/>
          <w:sz w:val="16"/>
          <w:szCs w:val="20"/>
        </w:rPr>
      </w:pPr>
    </w:p>
    <w:p w:rsidR="0010061E" w:rsidRPr="00682309" w:rsidRDefault="005E2907" w:rsidP="005E2907">
      <w:pPr>
        <w:ind w:left="360"/>
        <w:rPr>
          <w:rFonts w:ascii="Arial" w:hAnsi="Arial" w:cs="Arial"/>
        </w:rPr>
      </w:pPr>
      <w:r w:rsidRPr="005E2907">
        <w:rPr>
          <w:rFonts w:ascii="Arial" w:hAnsi="Arial" w:cs="Arial"/>
        </w:rPr>
        <w:t xml:space="preserve">Following approval by SMT, </w:t>
      </w:r>
      <w:r w:rsidR="0010061E" w:rsidRPr="005E2907">
        <w:rPr>
          <w:rFonts w:ascii="Arial" w:hAnsi="Arial" w:cs="Arial"/>
          <w:bCs/>
        </w:rPr>
        <w:t>Board</w:t>
      </w:r>
      <w:r w:rsidR="0010061E" w:rsidRPr="005E2907">
        <w:rPr>
          <w:rFonts w:ascii="Arial" w:hAnsi="Arial" w:cs="Arial"/>
          <w:b/>
          <w:bCs/>
        </w:rPr>
        <w:t xml:space="preserve"> </w:t>
      </w:r>
      <w:r w:rsidR="0010061E" w:rsidRPr="005E2907">
        <w:rPr>
          <w:rFonts w:ascii="Arial" w:hAnsi="Arial" w:cs="Arial"/>
        </w:rPr>
        <w:t xml:space="preserve">Members are asked to discuss and approve the interim update to the </w:t>
      </w:r>
      <w:r w:rsidR="0010061E" w:rsidRPr="005E2907">
        <w:rPr>
          <w:rFonts w:ascii="Arial" w:hAnsi="Arial" w:cs="Arial"/>
          <w:bCs/>
        </w:rPr>
        <w:t>Property and Asset Management Strategy</w:t>
      </w:r>
      <w:r w:rsidR="0010061E" w:rsidRPr="005E2907">
        <w:rPr>
          <w:rFonts w:ascii="Arial" w:hAnsi="Arial" w:cs="Arial"/>
        </w:rPr>
        <w:t>.</w:t>
      </w:r>
      <w:r w:rsidR="0010061E">
        <w:rPr>
          <w:rFonts w:ascii="Arial" w:hAnsi="Arial" w:cs="Arial"/>
        </w:rPr>
        <w:t xml:space="preserve"> </w:t>
      </w:r>
    </w:p>
    <w:p w:rsidR="0010061E" w:rsidRDefault="0010061E" w:rsidP="0010061E">
      <w:pPr>
        <w:pStyle w:val="BodyTextIndent2"/>
        <w:ind w:left="360" w:hanging="360"/>
        <w:jc w:val="left"/>
        <w:rPr>
          <w:rFonts w:ascii="Arial" w:hAnsi="Arial" w:cs="Arial"/>
          <w:b/>
          <w:bCs w:val="0"/>
        </w:rPr>
      </w:pPr>
    </w:p>
    <w:p w:rsidR="0010061E" w:rsidRDefault="0010061E" w:rsidP="0010061E">
      <w:pPr>
        <w:pStyle w:val="BodyTextIndent2"/>
        <w:ind w:left="360" w:hanging="360"/>
        <w:jc w:val="left"/>
        <w:rPr>
          <w:rFonts w:ascii="Arial" w:hAnsi="Arial" w:cs="Arial"/>
          <w:b/>
          <w:bCs w:val="0"/>
        </w:rPr>
      </w:pPr>
    </w:p>
    <w:p w:rsidR="00354084" w:rsidRPr="0010061E" w:rsidRDefault="00354084" w:rsidP="0010061E">
      <w:pPr>
        <w:pStyle w:val="BodyTextIndent2"/>
        <w:ind w:left="360" w:hanging="360"/>
        <w:jc w:val="left"/>
        <w:rPr>
          <w:rFonts w:ascii="Arial" w:hAnsi="Arial" w:cs="Arial"/>
          <w:b/>
          <w:bCs w:val="0"/>
        </w:rPr>
      </w:pPr>
      <w:r w:rsidRPr="0010061E">
        <w:rPr>
          <w:rFonts w:ascii="Arial" w:hAnsi="Arial" w:cs="Arial"/>
          <w:b/>
          <w:bCs w:val="0"/>
        </w:rPr>
        <w:t>Julie Carter</w:t>
      </w:r>
    </w:p>
    <w:p w:rsidR="00354084" w:rsidRPr="0010061E" w:rsidRDefault="00354084">
      <w:pPr>
        <w:rPr>
          <w:rFonts w:ascii="Arial" w:hAnsi="Arial" w:cs="Arial"/>
          <w:b/>
        </w:rPr>
      </w:pPr>
      <w:r w:rsidRPr="0010061E">
        <w:rPr>
          <w:rFonts w:ascii="Arial" w:hAnsi="Arial" w:cs="Arial"/>
          <w:b/>
        </w:rPr>
        <w:t>Director of Finance</w:t>
      </w:r>
    </w:p>
    <w:p w:rsidR="00354084" w:rsidRPr="0010061E" w:rsidRDefault="001F29F1" w:rsidP="00700075">
      <w:pPr>
        <w:rPr>
          <w:rFonts w:ascii="Arial" w:hAnsi="Arial" w:cs="Arial"/>
          <w:b/>
        </w:rPr>
      </w:pPr>
      <w:r w:rsidRPr="0010061E">
        <w:rPr>
          <w:rFonts w:ascii="Arial" w:hAnsi="Arial" w:cs="Arial"/>
          <w:b/>
        </w:rPr>
        <w:t>31 May</w:t>
      </w:r>
      <w:r w:rsidR="006F410E" w:rsidRPr="0010061E">
        <w:rPr>
          <w:rFonts w:ascii="Arial" w:hAnsi="Arial" w:cs="Arial"/>
          <w:b/>
        </w:rPr>
        <w:t xml:space="preserve"> 2018</w:t>
      </w:r>
    </w:p>
    <w:p w:rsidR="00354084" w:rsidRPr="0010061E" w:rsidRDefault="00354084" w:rsidP="00700075">
      <w:pPr>
        <w:rPr>
          <w:rFonts w:ascii="Arial" w:hAnsi="Arial" w:cs="Arial"/>
          <w:b/>
        </w:rPr>
      </w:pPr>
    </w:p>
    <w:p w:rsidR="00354084" w:rsidRPr="0010061E" w:rsidRDefault="00354084" w:rsidP="000902EB">
      <w:pPr>
        <w:rPr>
          <w:rFonts w:ascii="Arial" w:hAnsi="Arial" w:cs="Arial"/>
          <w:b/>
          <w:iCs/>
        </w:rPr>
      </w:pPr>
      <w:r w:rsidRPr="0010061E">
        <w:rPr>
          <w:rFonts w:ascii="Arial" w:hAnsi="Arial" w:cs="Arial"/>
          <w:b/>
          <w:iCs/>
        </w:rPr>
        <w:t>(Lily Bryson, Assistant Director of Finance – Governance and Financial Accounting</w:t>
      </w:r>
      <w:r w:rsidR="0010061E" w:rsidRPr="0010061E">
        <w:rPr>
          <w:rFonts w:ascii="Arial" w:hAnsi="Arial" w:cs="Arial"/>
          <w:b/>
          <w:iCs/>
        </w:rPr>
        <w:t>)</w:t>
      </w:r>
      <w:r w:rsidR="0010061E" w:rsidRPr="0010061E">
        <w:rPr>
          <w:rFonts w:ascii="Arial" w:hAnsi="Arial" w:cs="Arial"/>
          <w:b/>
          <w:iCs/>
        </w:rPr>
        <w:br/>
        <w:t>(</w:t>
      </w:r>
      <w:r w:rsidR="001F29F1" w:rsidRPr="0010061E">
        <w:rPr>
          <w:rFonts w:ascii="Arial" w:hAnsi="Arial" w:cs="Arial"/>
          <w:b/>
          <w:iCs/>
        </w:rPr>
        <w:t>Gerry Cox, Head of Estates</w:t>
      </w:r>
      <w:r w:rsidRPr="0010061E">
        <w:rPr>
          <w:rFonts w:ascii="Arial" w:hAnsi="Arial" w:cs="Arial"/>
          <w:b/>
          <w:iCs/>
        </w:rPr>
        <w:t>)</w:t>
      </w:r>
    </w:p>
    <w:p w:rsidR="00354084" w:rsidRPr="0010061E" w:rsidRDefault="00354084">
      <w:pPr>
        <w:rPr>
          <w:rFonts w:ascii="Arial" w:hAnsi="Arial" w:cs="Arial"/>
          <w:b/>
          <w:bCs/>
          <w:iCs/>
          <w:szCs w:val="28"/>
        </w:rPr>
      </w:pPr>
    </w:p>
    <w:p w:rsidR="001F29F1" w:rsidRDefault="001F29F1">
      <w:pPr>
        <w:rPr>
          <w:rFonts w:ascii="Arial" w:hAnsi="Arial" w:cs="Arial"/>
          <w:b/>
          <w:bCs/>
          <w:iCs/>
          <w:szCs w:val="28"/>
        </w:rPr>
      </w:pPr>
      <w:r>
        <w:rPr>
          <w:rFonts w:ascii="Arial" w:hAnsi="Arial" w:cs="Arial"/>
          <w:b/>
          <w:bCs/>
          <w:iCs/>
          <w:szCs w:val="28"/>
        </w:rPr>
        <w:br w:type="page"/>
      </w:r>
    </w:p>
    <w:p w:rsidR="001F29F1" w:rsidRPr="009E7671" w:rsidRDefault="001F29F1" w:rsidP="001F29F1">
      <w:pPr>
        <w:rPr>
          <w:rFonts w:ascii="Arial" w:hAnsi="Arial" w:cs="Arial"/>
          <w:b/>
        </w:rPr>
      </w:pPr>
      <w:r w:rsidRPr="009E7671">
        <w:rPr>
          <w:rFonts w:ascii="Arial" w:hAnsi="Arial" w:cs="Arial"/>
          <w:b/>
        </w:rPr>
        <w:lastRenderedPageBreak/>
        <w:t>2018 Programme PAMS Update Report</w:t>
      </w:r>
    </w:p>
    <w:p w:rsidR="001F29F1" w:rsidRPr="009E7671" w:rsidRDefault="001F29F1" w:rsidP="001F29F1">
      <w:pPr>
        <w:rPr>
          <w:rFonts w:ascii="Arial" w:hAnsi="Arial" w:cs="Arial"/>
          <w:b/>
        </w:rPr>
      </w:pPr>
    </w:p>
    <w:p w:rsidR="001F29F1" w:rsidRPr="009E7671" w:rsidRDefault="001F29F1" w:rsidP="001F29F1">
      <w:pPr>
        <w:pStyle w:val="ListParagraph"/>
        <w:numPr>
          <w:ilvl w:val="0"/>
          <w:numId w:val="40"/>
        </w:numPr>
        <w:spacing w:after="0" w:line="240" w:lineRule="auto"/>
        <w:ind w:left="357" w:hanging="357"/>
        <w:rPr>
          <w:rFonts w:ascii="Arial" w:hAnsi="Arial" w:cs="Arial"/>
          <w:b/>
          <w:sz w:val="24"/>
          <w:szCs w:val="24"/>
        </w:rPr>
      </w:pPr>
      <w:r w:rsidRPr="009E7671">
        <w:rPr>
          <w:rFonts w:ascii="Arial" w:hAnsi="Arial" w:cs="Arial"/>
          <w:b/>
          <w:sz w:val="24"/>
          <w:szCs w:val="24"/>
        </w:rPr>
        <w:t>Introduction</w:t>
      </w:r>
      <w:r w:rsidR="002D5C6B">
        <w:rPr>
          <w:rFonts w:ascii="Arial" w:hAnsi="Arial" w:cs="Arial"/>
          <w:b/>
          <w:sz w:val="24"/>
          <w:szCs w:val="24"/>
        </w:rPr>
        <w:t>/Purpose</w:t>
      </w:r>
    </w:p>
    <w:p w:rsidR="001F29F1" w:rsidRPr="009E7671" w:rsidRDefault="001F29F1" w:rsidP="001F29F1">
      <w:pPr>
        <w:rPr>
          <w:rFonts w:ascii="Arial" w:hAnsi="Arial" w:cs="Arial"/>
          <w:b/>
        </w:rPr>
      </w:pPr>
    </w:p>
    <w:p w:rsidR="001F29F1" w:rsidRPr="009E7671" w:rsidRDefault="001F29F1" w:rsidP="009E7671">
      <w:pPr>
        <w:ind w:left="357"/>
        <w:rPr>
          <w:rFonts w:ascii="Arial" w:hAnsi="Arial" w:cs="Arial"/>
        </w:rPr>
      </w:pPr>
      <w:r w:rsidRPr="009E7671">
        <w:rPr>
          <w:rFonts w:ascii="Arial" w:hAnsi="Arial" w:cs="Arial"/>
        </w:rPr>
        <w:t>As advised in the letter of 15 March 2018 the updated report relating</w:t>
      </w:r>
      <w:r w:rsidR="007061F3">
        <w:rPr>
          <w:rFonts w:ascii="Arial" w:hAnsi="Arial" w:cs="Arial"/>
        </w:rPr>
        <w:t xml:space="preserve"> to</w:t>
      </w:r>
      <w:r w:rsidRPr="009E7671">
        <w:rPr>
          <w:rFonts w:ascii="Arial" w:hAnsi="Arial" w:cs="Arial"/>
        </w:rPr>
        <w:t xml:space="preserve"> the PAMS document submitted in 2017/18 is detailed below.</w:t>
      </w:r>
    </w:p>
    <w:p w:rsidR="001F29F1" w:rsidRPr="009E7671" w:rsidRDefault="001F29F1" w:rsidP="001F29F1">
      <w:pPr>
        <w:rPr>
          <w:rFonts w:ascii="Arial" w:hAnsi="Arial" w:cs="Arial"/>
        </w:rPr>
      </w:pPr>
    </w:p>
    <w:p w:rsidR="009E7671" w:rsidRDefault="009E7671" w:rsidP="001F29F1">
      <w:pPr>
        <w:pStyle w:val="ListParagraph"/>
        <w:numPr>
          <w:ilvl w:val="0"/>
          <w:numId w:val="40"/>
        </w:numPr>
        <w:spacing w:after="0" w:line="240" w:lineRule="auto"/>
        <w:ind w:left="357" w:hanging="357"/>
        <w:rPr>
          <w:rFonts w:ascii="Arial" w:hAnsi="Arial" w:cs="Arial"/>
          <w:b/>
          <w:sz w:val="24"/>
          <w:szCs w:val="24"/>
        </w:rPr>
      </w:pPr>
      <w:r>
        <w:rPr>
          <w:rFonts w:ascii="Arial" w:hAnsi="Arial" w:cs="Arial"/>
          <w:b/>
          <w:sz w:val="24"/>
          <w:szCs w:val="24"/>
        </w:rPr>
        <w:t>Strategic update</w:t>
      </w:r>
    </w:p>
    <w:p w:rsidR="0013588E" w:rsidRDefault="0013588E" w:rsidP="0013588E">
      <w:pPr>
        <w:rPr>
          <w:rFonts w:ascii="Arial" w:hAnsi="Arial" w:cs="Arial"/>
          <w:b/>
        </w:rPr>
      </w:pPr>
    </w:p>
    <w:p w:rsidR="0013588E" w:rsidRPr="009E7671" w:rsidRDefault="0013588E" w:rsidP="0013588E">
      <w:pPr>
        <w:ind w:left="357"/>
        <w:rPr>
          <w:rFonts w:ascii="Arial" w:hAnsi="Arial" w:cs="Arial"/>
        </w:rPr>
      </w:pPr>
      <w:r w:rsidRPr="009E7671">
        <w:rPr>
          <w:rFonts w:ascii="Arial" w:hAnsi="Arial" w:cs="Arial"/>
        </w:rPr>
        <w:t>There are no substantial changes to the Board strategic plans that have not been previously included in the 2017/18 PAM</w:t>
      </w:r>
      <w:r w:rsidR="007061F3">
        <w:rPr>
          <w:rFonts w:ascii="Arial" w:hAnsi="Arial" w:cs="Arial"/>
        </w:rPr>
        <w:t>S</w:t>
      </w:r>
      <w:r w:rsidRPr="009E7671">
        <w:rPr>
          <w:rFonts w:ascii="Arial" w:hAnsi="Arial" w:cs="Arial"/>
        </w:rPr>
        <w:t xml:space="preserve"> submission.</w:t>
      </w:r>
    </w:p>
    <w:p w:rsidR="0013588E" w:rsidRPr="009E7671" w:rsidRDefault="0013588E" w:rsidP="0013588E">
      <w:pPr>
        <w:ind w:left="357"/>
        <w:rPr>
          <w:rFonts w:ascii="Arial" w:hAnsi="Arial" w:cs="Arial"/>
        </w:rPr>
      </w:pPr>
    </w:p>
    <w:p w:rsidR="0013588E" w:rsidRPr="009E7671" w:rsidRDefault="0013588E" w:rsidP="0013588E">
      <w:pPr>
        <w:ind w:left="357"/>
        <w:rPr>
          <w:rFonts w:ascii="Arial" w:hAnsi="Arial" w:cs="Arial"/>
        </w:rPr>
      </w:pPr>
      <w:r w:rsidRPr="009E7671">
        <w:rPr>
          <w:rFonts w:ascii="Arial" w:hAnsi="Arial" w:cs="Arial"/>
        </w:rPr>
        <w:t>Full details of all the areas noted below are contained within the Board</w:t>
      </w:r>
      <w:r w:rsidR="007061F3">
        <w:rPr>
          <w:rFonts w:ascii="Arial" w:hAnsi="Arial" w:cs="Arial"/>
        </w:rPr>
        <w:t>’</w:t>
      </w:r>
      <w:r w:rsidRPr="009E7671">
        <w:rPr>
          <w:rFonts w:ascii="Arial" w:hAnsi="Arial" w:cs="Arial"/>
        </w:rPr>
        <w:t xml:space="preserve">s </w:t>
      </w:r>
      <w:r w:rsidR="004C1616">
        <w:rPr>
          <w:rFonts w:ascii="Arial" w:hAnsi="Arial" w:cs="Arial"/>
        </w:rPr>
        <w:t xml:space="preserve">Annual Operational Plan (formerly </w:t>
      </w:r>
      <w:r w:rsidR="004C1616" w:rsidRPr="009E7671">
        <w:rPr>
          <w:rFonts w:ascii="Arial" w:hAnsi="Arial" w:cs="Arial"/>
        </w:rPr>
        <w:t>Local Delivery Plan</w:t>
      </w:r>
      <w:r w:rsidR="004C1616">
        <w:rPr>
          <w:rFonts w:ascii="Arial" w:hAnsi="Arial" w:cs="Arial"/>
        </w:rPr>
        <w:t xml:space="preserve">) </w:t>
      </w:r>
      <w:r w:rsidRPr="009E7671">
        <w:rPr>
          <w:rFonts w:ascii="Arial" w:hAnsi="Arial" w:cs="Arial"/>
        </w:rPr>
        <w:t xml:space="preserve">and continue to deliver the Board vision of Leading Quality, Research and Innovation.  </w:t>
      </w:r>
    </w:p>
    <w:p w:rsidR="0013588E" w:rsidRDefault="0013588E" w:rsidP="0013588E">
      <w:pPr>
        <w:ind w:left="360"/>
        <w:rPr>
          <w:rFonts w:ascii="Arial" w:hAnsi="Arial" w:cs="Arial"/>
        </w:rPr>
      </w:pPr>
    </w:p>
    <w:p w:rsidR="0013588E" w:rsidRPr="0013588E" w:rsidRDefault="0013588E" w:rsidP="0013588E">
      <w:pPr>
        <w:ind w:left="360"/>
        <w:rPr>
          <w:rFonts w:ascii="Arial" w:hAnsi="Arial" w:cs="Arial"/>
        </w:rPr>
      </w:pPr>
      <w:r w:rsidRPr="0013588E">
        <w:rPr>
          <w:rFonts w:ascii="Arial" w:hAnsi="Arial" w:cs="Arial"/>
        </w:rPr>
        <w:t xml:space="preserve">Collaboration with other National Boards and Public Sector </w:t>
      </w:r>
      <w:r w:rsidR="000A0566" w:rsidRPr="0013588E">
        <w:rPr>
          <w:rFonts w:ascii="Arial" w:hAnsi="Arial" w:cs="Arial"/>
        </w:rPr>
        <w:t>Bodies</w:t>
      </w:r>
      <w:r w:rsidR="00721877">
        <w:rPr>
          <w:rFonts w:ascii="Arial" w:hAnsi="Arial" w:cs="Arial"/>
        </w:rPr>
        <w:t xml:space="preserve"> carries on with regard to specific projects and national/regional working</w:t>
      </w:r>
      <w:r w:rsidRPr="0013588E">
        <w:rPr>
          <w:rFonts w:ascii="Arial" w:hAnsi="Arial" w:cs="Arial"/>
        </w:rPr>
        <w:t xml:space="preserve">.  The Board is </w:t>
      </w:r>
      <w:r w:rsidR="000A0566">
        <w:rPr>
          <w:rFonts w:ascii="Arial" w:hAnsi="Arial" w:cs="Arial"/>
        </w:rPr>
        <w:t xml:space="preserve">likely to be </w:t>
      </w:r>
      <w:r w:rsidRPr="0013588E">
        <w:rPr>
          <w:rFonts w:ascii="Arial" w:hAnsi="Arial" w:cs="Arial"/>
        </w:rPr>
        <w:t>working with other Boards in the preparation of both national and regional plans for capital investment.</w:t>
      </w:r>
    </w:p>
    <w:p w:rsidR="009E7671" w:rsidRPr="009E7671" w:rsidRDefault="009E7671" w:rsidP="009E7671">
      <w:pPr>
        <w:rPr>
          <w:rFonts w:ascii="Arial" w:hAnsi="Arial" w:cs="Arial"/>
          <w:b/>
        </w:rPr>
      </w:pPr>
    </w:p>
    <w:p w:rsidR="001F29F1" w:rsidRDefault="009E7671" w:rsidP="009E7671">
      <w:pPr>
        <w:pStyle w:val="ListParagraph"/>
        <w:numPr>
          <w:ilvl w:val="1"/>
          <w:numId w:val="40"/>
        </w:numPr>
        <w:spacing w:after="0" w:line="240" w:lineRule="auto"/>
        <w:rPr>
          <w:rFonts w:ascii="Arial" w:hAnsi="Arial" w:cs="Arial"/>
          <w:b/>
          <w:sz w:val="24"/>
          <w:szCs w:val="24"/>
        </w:rPr>
      </w:pPr>
      <w:r>
        <w:rPr>
          <w:rFonts w:ascii="Arial" w:hAnsi="Arial" w:cs="Arial"/>
          <w:b/>
          <w:sz w:val="24"/>
          <w:szCs w:val="24"/>
        </w:rPr>
        <w:t>Regional Working</w:t>
      </w:r>
    </w:p>
    <w:p w:rsidR="00C134E1" w:rsidRPr="00C134E1" w:rsidRDefault="00C134E1" w:rsidP="00C134E1">
      <w:pPr>
        <w:ind w:left="1080"/>
        <w:rPr>
          <w:rFonts w:ascii="Arial" w:hAnsi="Arial" w:cs="Arial"/>
        </w:rPr>
      </w:pPr>
      <w:r w:rsidRPr="00C134E1">
        <w:rPr>
          <w:rFonts w:ascii="Arial" w:hAnsi="Arial" w:cs="Arial"/>
        </w:rPr>
        <w:t xml:space="preserve">The Service </w:t>
      </w:r>
      <w:r w:rsidR="001266C0">
        <w:rPr>
          <w:rFonts w:ascii="Arial" w:hAnsi="Arial" w:cs="Arial"/>
        </w:rPr>
        <w:t xml:space="preserve">PAMS </w:t>
      </w:r>
      <w:r w:rsidRPr="00C134E1">
        <w:rPr>
          <w:rFonts w:ascii="Arial" w:hAnsi="Arial" w:cs="Arial"/>
        </w:rPr>
        <w:t xml:space="preserve">needs to continue to support the strategic and operational delivery of the Service. </w:t>
      </w:r>
    </w:p>
    <w:p w:rsidR="00C134E1" w:rsidRPr="00C134E1" w:rsidRDefault="00C134E1" w:rsidP="00C134E1">
      <w:pPr>
        <w:ind w:left="1080"/>
        <w:rPr>
          <w:rFonts w:ascii="Arial" w:hAnsi="Arial" w:cs="Arial"/>
        </w:rPr>
      </w:pPr>
    </w:p>
    <w:p w:rsidR="00C134E1" w:rsidRPr="00C134E1" w:rsidRDefault="00C134E1" w:rsidP="00C134E1">
      <w:pPr>
        <w:ind w:left="1080"/>
        <w:rPr>
          <w:rFonts w:ascii="Arial" w:hAnsi="Arial" w:cs="Arial"/>
        </w:rPr>
      </w:pPr>
      <w:r w:rsidRPr="00C134E1">
        <w:rPr>
          <w:rFonts w:ascii="Arial" w:hAnsi="Arial" w:cs="Arial"/>
        </w:rPr>
        <w:t xml:space="preserve">The </w:t>
      </w:r>
      <w:r>
        <w:rPr>
          <w:rFonts w:ascii="Arial" w:hAnsi="Arial" w:cs="Arial"/>
        </w:rPr>
        <w:t>Board’s</w:t>
      </w:r>
      <w:r w:rsidRPr="00C134E1">
        <w:rPr>
          <w:rFonts w:ascii="Arial" w:hAnsi="Arial" w:cs="Arial"/>
        </w:rPr>
        <w:t xml:space="preserve"> Operational Delivery Plan has been developed with a focus on collaboration, specifically with </w:t>
      </w:r>
      <w:r>
        <w:rPr>
          <w:rFonts w:ascii="Arial" w:hAnsi="Arial" w:cs="Arial"/>
        </w:rPr>
        <w:t>the West Region</w:t>
      </w:r>
      <w:r w:rsidRPr="00C134E1">
        <w:rPr>
          <w:rFonts w:ascii="Arial" w:hAnsi="Arial" w:cs="Arial"/>
        </w:rPr>
        <w:t xml:space="preserve">, other National Health Boards, and other partners. The key elements of the plan and how this links to the </w:t>
      </w:r>
      <w:proofErr w:type="gramStart"/>
      <w:r w:rsidR="001266C0">
        <w:rPr>
          <w:rFonts w:ascii="Arial" w:hAnsi="Arial" w:cs="Arial"/>
        </w:rPr>
        <w:t xml:space="preserve">PAMS </w:t>
      </w:r>
      <w:r w:rsidRPr="00C134E1">
        <w:rPr>
          <w:rFonts w:ascii="Arial" w:hAnsi="Arial" w:cs="Arial"/>
        </w:rPr>
        <w:t xml:space="preserve"> are</w:t>
      </w:r>
      <w:proofErr w:type="gramEnd"/>
      <w:r w:rsidRPr="00C134E1">
        <w:rPr>
          <w:rFonts w:ascii="Arial" w:hAnsi="Arial" w:cs="Arial"/>
        </w:rPr>
        <w:t xml:space="preserve"> described below.</w:t>
      </w:r>
    </w:p>
    <w:p w:rsidR="00C134E1" w:rsidRPr="00C134E1" w:rsidRDefault="00C134E1" w:rsidP="00C134E1">
      <w:pPr>
        <w:rPr>
          <w:rFonts w:ascii="Arial" w:hAnsi="Arial" w:cs="Arial"/>
          <w:b/>
        </w:rPr>
      </w:pPr>
    </w:p>
    <w:p w:rsidR="00C134E1" w:rsidRPr="00C134E1" w:rsidRDefault="00C134E1" w:rsidP="0013588E">
      <w:pPr>
        <w:ind w:left="1080"/>
        <w:rPr>
          <w:rFonts w:ascii="Arial" w:hAnsi="Arial" w:cs="Arial"/>
          <w:u w:val="single"/>
        </w:rPr>
      </w:pPr>
      <w:r w:rsidRPr="00C134E1">
        <w:rPr>
          <w:rFonts w:ascii="Arial" w:hAnsi="Arial" w:cs="Arial"/>
          <w:u w:val="single"/>
        </w:rPr>
        <w:t>Imaging Capacity</w:t>
      </w:r>
    </w:p>
    <w:p w:rsidR="0013588E" w:rsidRDefault="0013588E" w:rsidP="0013588E">
      <w:pPr>
        <w:ind w:left="1080"/>
        <w:rPr>
          <w:rFonts w:ascii="Arial" w:hAnsi="Arial" w:cs="Arial"/>
        </w:rPr>
      </w:pPr>
      <w:r w:rsidRPr="009E7671">
        <w:rPr>
          <w:rFonts w:ascii="Arial" w:hAnsi="Arial" w:cs="Arial"/>
        </w:rPr>
        <w:t>Consideration of installation of a second CT scanner which will require an element of building work to enable this work is being undertaken by the Board during early 2018/19</w:t>
      </w:r>
      <w:r w:rsidR="000A0566">
        <w:rPr>
          <w:rFonts w:ascii="Arial" w:hAnsi="Arial" w:cs="Arial"/>
        </w:rPr>
        <w:t>.</w:t>
      </w:r>
    </w:p>
    <w:p w:rsidR="000C3BA0" w:rsidRDefault="000C3BA0" w:rsidP="0013588E">
      <w:pPr>
        <w:ind w:left="1080"/>
        <w:rPr>
          <w:rFonts w:ascii="Arial" w:hAnsi="Arial" w:cs="Arial"/>
        </w:rPr>
      </w:pPr>
    </w:p>
    <w:p w:rsidR="000C3BA0" w:rsidRDefault="000C3BA0" w:rsidP="000C3BA0">
      <w:pPr>
        <w:spacing w:line="276" w:lineRule="auto"/>
        <w:ind w:left="1080"/>
        <w:rPr>
          <w:rFonts w:ascii="Arial" w:hAnsi="Arial" w:cs="Arial"/>
          <w:u w:val="single"/>
        </w:rPr>
      </w:pPr>
      <w:r>
        <w:rPr>
          <w:rFonts w:ascii="Arial" w:hAnsi="Arial" w:cs="Arial"/>
          <w:u w:val="single"/>
        </w:rPr>
        <w:t>“Once for Scotland”</w:t>
      </w:r>
    </w:p>
    <w:p w:rsidR="00F127C5" w:rsidRDefault="000C3BA0">
      <w:pPr>
        <w:ind w:left="1080"/>
        <w:rPr>
          <w:rFonts w:ascii="Arial" w:hAnsi="Arial" w:cs="Arial"/>
        </w:rPr>
      </w:pPr>
      <w:r w:rsidRPr="00EA396C">
        <w:rPr>
          <w:rFonts w:ascii="Arial" w:hAnsi="Arial" w:cs="Arial"/>
        </w:rPr>
        <w:t xml:space="preserve">Estates sharing at national, regional and local levels is encouraged to develop the “Once for Scotland” approach. </w:t>
      </w:r>
    </w:p>
    <w:p w:rsidR="00F127C5" w:rsidRDefault="00F127C5">
      <w:pPr>
        <w:ind w:left="1080"/>
        <w:rPr>
          <w:rFonts w:ascii="Arial" w:hAnsi="Arial" w:cs="Arial"/>
        </w:rPr>
      </w:pPr>
    </w:p>
    <w:p w:rsidR="00F127C5" w:rsidRDefault="000C3BA0">
      <w:pPr>
        <w:ind w:left="1080"/>
        <w:rPr>
          <w:rFonts w:ascii="Arial" w:hAnsi="Arial" w:cs="Arial"/>
        </w:rPr>
      </w:pPr>
      <w:r>
        <w:rPr>
          <w:rFonts w:ascii="Arial" w:hAnsi="Arial" w:cs="Arial"/>
        </w:rPr>
        <w:t xml:space="preserve">This approach is one we wish to explore as a key basis for our </w:t>
      </w:r>
      <w:r w:rsidR="001266C0">
        <w:rPr>
          <w:rFonts w:ascii="Arial" w:hAnsi="Arial" w:cs="Arial"/>
        </w:rPr>
        <w:t>PAMS</w:t>
      </w:r>
      <w:r>
        <w:rPr>
          <w:rFonts w:ascii="Arial" w:hAnsi="Arial" w:cs="Arial"/>
        </w:rPr>
        <w:t xml:space="preserve">, </w:t>
      </w:r>
      <w:proofErr w:type="spellStart"/>
      <w:r w:rsidR="006E7F53">
        <w:rPr>
          <w:rFonts w:ascii="Arial" w:hAnsi="Arial" w:cs="Arial"/>
        </w:rPr>
        <w:t>eg</w:t>
      </w:r>
      <w:proofErr w:type="spellEnd"/>
      <w:r>
        <w:rPr>
          <w:rFonts w:ascii="Arial" w:hAnsi="Arial" w:cs="Arial"/>
        </w:rPr>
        <w:t xml:space="preserve"> links with West College and West Dunbartonshire Council. </w:t>
      </w:r>
    </w:p>
    <w:p w:rsidR="00F127C5" w:rsidRDefault="00F127C5">
      <w:pPr>
        <w:rPr>
          <w:rFonts w:ascii="Arial" w:hAnsi="Arial" w:cs="Arial"/>
        </w:rPr>
      </w:pPr>
    </w:p>
    <w:p w:rsidR="000C3BA0" w:rsidRPr="000C3BA0" w:rsidRDefault="000C3BA0" w:rsidP="0013588E">
      <w:pPr>
        <w:ind w:left="1080"/>
        <w:rPr>
          <w:rFonts w:ascii="Arial" w:hAnsi="Arial" w:cs="Arial"/>
          <w:u w:val="single"/>
        </w:rPr>
      </w:pPr>
      <w:r>
        <w:rPr>
          <w:rFonts w:ascii="Arial" w:hAnsi="Arial" w:cs="Arial"/>
          <w:u w:val="single"/>
        </w:rPr>
        <w:t>Elective Centres</w:t>
      </w:r>
    </w:p>
    <w:p w:rsidR="000A0566" w:rsidRDefault="000A0566" w:rsidP="0013588E">
      <w:pPr>
        <w:ind w:left="1080"/>
        <w:rPr>
          <w:rFonts w:ascii="Arial" w:hAnsi="Arial" w:cs="Arial"/>
        </w:rPr>
      </w:pPr>
      <w:r>
        <w:rPr>
          <w:rFonts w:ascii="Arial" w:hAnsi="Arial" w:cs="Arial"/>
        </w:rPr>
        <w:t>The elective centres discussed below also take account of regional working as a large element of the activity undertaken in the new centres will be to meet West of Scotland demand.</w:t>
      </w:r>
    </w:p>
    <w:p w:rsidR="000C3BA0" w:rsidRDefault="000C3BA0" w:rsidP="0013588E">
      <w:pPr>
        <w:ind w:left="1080"/>
        <w:rPr>
          <w:rFonts w:ascii="Arial" w:hAnsi="Arial" w:cs="Arial"/>
        </w:rPr>
      </w:pPr>
    </w:p>
    <w:p w:rsidR="000C3BA0" w:rsidRDefault="000C3BA0" w:rsidP="000C3BA0">
      <w:pPr>
        <w:spacing w:line="276" w:lineRule="auto"/>
        <w:ind w:left="1080"/>
        <w:rPr>
          <w:rFonts w:ascii="Arial" w:hAnsi="Arial" w:cs="Arial"/>
          <w:u w:val="single"/>
        </w:rPr>
      </w:pPr>
      <w:r>
        <w:rPr>
          <w:rFonts w:ascii="Arial" w:hAnsi="Arial" w:cs="Arial"/>
          <w:u w:val="single"/>
        </w:rPr>
        <w:lastRenderedPageBreak/>
        <w:t>Collaboration with other National Boards and other public sector partners</w:t>
      </w:r>
    </w:p>
    <w:p w:rsidR="000C3BA0" w:rsidRDefault="000C3BA0" w:rsidP="000C3BA0">
      <w:pPr>
        <w:spacing w:line="276" w:lineRule="auto"/>
        <w:ind w:left="1080"/>
        <w:rPr>
          <w:rFonts w:ascii="Arial" w:hAnsi="Arial" w:cs="Arial"/>
          <w:u w:val="single"/>
        </w:rPr>
      </w:pPr>
    </w:p>
    <w:p w:rsidR="000C3BA0" w:rsidRDefault="000C3BA0" w:rsidP="000C3BA0">
      <w:pPr>
        <w:ind w:left="1080"/>
        <w:jc w:val="both"/>
        <w:rPr>
          <w:rFonts w:ascii="Arial" w:hAnsi="Arial" w:cs="Arial"/>
        </w:rPr>
      </w:pPr>
      <w:r>
        <w:rPr>
          <w:rFonts w:ascii="Arial" w:hAnsi="Arial" w:cs="Arial"/>
        </w:rPr>
        <w:t xml:space="preserve">A number of key senior posts are currently being shared across a number of organisations within the National Boards. In addition a range of other internal </w:t>
      </w:r>
      <w:r w:rsidRPr="000F7633">
        <w:rPr>
          <w:rFonts w:ascii="Arial" w:hAnsi="Arial" w:cs="Arial"/>
        </w:rPr>
        <w:t xml:space="preserve">and external facing initiatives will be collaboratively progressed as part of </w:t>
      </w:r>
      <w:r>
        <w:rPr>
          <w:rFonts w:ascii="Arial" w:hAnsi="Arial" w:cs="Arial"/>
        </w:rPr>
        <w:t xml:space="preserve">the </w:t>
      </w:r>
      <w:r w:rsidRPr="000F7633">
        <w:rPr>
          <w:rFonts w:ascii="Arial" w:hAnsi="Arial" w:cs="Arial"/>
        </w:rPr>
        <w:t>organisations’ delivery commitments.</w:t>
      </w:r>
      <w:r>
        <w:rPr>
          <w:rFonts w:ascii="Arial" w:hAnsi="Arial" w:cs="Arial"/>
        </w:rPr>
        <w:t xml:space="preserve"> </w:t>
      </w:r>
    </w:p>
    <w:p w:rsidR="000C3BA0" w:rsidRDefault="000C3BA0" w:rsidP="000C3BA0">
      <w:pPr>
        <w:ind w:left="1080"/>
        <w:jc w:val="both"/>
        <w:rPr>
          <w:rFonts w:ascii="Arial" w:hAnsi="Arial" w:cs="Arial"/>
        </w:rPr>
      </w:pPr>
    </w:p>
    <w:p w:rsidR="000C3BA0" w:rsidRPr="009E7671" w:rsidRDefault="000C3BA0" w:rsidP="000C3BA0">
      <w:pPr>
        <w:ind w:left="1080"/>
        <w:jc w:val="both"/>
        <w:rPr>
          <w:rFonts w:ascii="Arial" w:hAnsi="Arial" w:cs="Arial"/>
        </w:rPr>
      </w:pPr>
      <w:r>
        <w:rPr>
          <w:rFonts w:ascii="Arial" w:hAnsi="Arial" w:cs="Arial"/>
        </w:rPr>
        <w:t xml:space="preserve">A </w:t>
      </w:r>
      <w:r w:rsidR="0087672F">
        <w:rPr>
          <w:rFonts w:ascii="Arial" w:hAnsi="Arial" w:cs="Arial"/>
        </w:rPr>
        <w:t xml:space="preserve">National Board </w:t>
      </w:r>
      <w:r w:rsidR="00495A47">
        <w:rPr>
          <w:rFonts w:ascii="Arial" w:hAnsi="Arial" w:cs="Arial"/>
        </w:rPr>
        <w:t>Discussion Document</w:t>
      </w:r>
      <w:r>
        <w:rPr>
          <w:rFonts w:ascii="Arial" w:hAnsi="Arial" w:cs="Arial"/>
        </w:rPr>
        <w:t xml:space="preserve"> has been </w:t>
      </w:r>
      <w:r w:rsidR="0087672F">
        <w:rPr>
          <w:rFonts w:ascii="Arial" w:hAnsi="Arial" w:cs="Arial"/>
        </w:rPr>
        <w:t>developed describing</w:t>
      </w:r>
      <w:r>
        <w:rPr>
          <w:rFonts w:ascii="Arial" w:hAnsi="Arial" w:cs="Arial"/>
        </w:rPr>
        <w:t xml:space="preserve"> the service priority areas identified by our partners with an emphasis on 3 areas: improvement, transformation and evaluation, digitally enabled service redesign and a sustainable workforce. Underpinning these is a financial framework that ensures all National Board resources are used efficiently and effectively. </w:t>
      </w:r>
    </w:p>
    <w:p w:rsidR="009E7671" w:rsidRDefault="009E7671" w:rsidP="009E7671">
      <w:pPr>
        <w:rPr>
          <w:rFonts w:ascii="Arial" w:hAnsi="Arial" w:cs="Arial"/>
          <w:b/>
        </w:rPr>
      </w:pPr>
    </w:p>
    <w:p w:rsidR="009E7671" w:rsidRDefault="009E7671" w:rsidP="009E7671">
      <w:pPr>
        <w:pStyle w:val="ListParagraph"/>
        <w:numPr>
          <w:ilvl w:val="1"/>
          <w:numId w:val="40"/>
        </w:numPr>
        <w:spacing w:after="0" w:line="240" w:lineRule="auto"/>
        <w:rPr>
          <w:rFonts w:ascii="Arial" w:hAnsi="Arial" w:cs="Arial"/>
          <w:b/>
          <w:sz w:val="24"/>
          <w:szCs w:val="24"/>
        </w:rPr>
      </w:pPr>
      <w:r w:rsidRPr="009E7671">
        <w:rPr>
          <w:rFonts w:ascii="Arial" w:hAnsi="Arial" w:cs="Arial"/>
          <w:b/>
          <w:sz w:val="24"/>
          <w:szCs w:val="24"/>
        </w:rPr>
        <w:t xml:space="preserve">National </w:t>
      </w:r>
      <w:r>
        <w:rPr>
          <w:rFonts w:ascii="Arial" w:hAnsi="Arial" w:cs="Arial"/>
          <w:b/>
          <w:sz w:val="24"/>
          <w:szCs w:val="24"/>
        </w:rPr>
        <w:t>context</w:t>
      </w:r>
    </w:p>
    <w:p w:rsidR="00274D52" w:rsidRDefault="00274D52" w:rsidP="00274D52">
      <w:pPr>
        <w:ind w:left="1080"/>
        <w:rPr>
          <w:rFonts w:ascii="Arial" w:hAnsi="Arial" w:cs="Arial"/>
        </w:rPr>
      </w:pPr>
      <w:r w:rsidRPr="00274D52">
        <w:rPr>
          <w:rFonts w:ascii="Arial" w:hAnsi="Arial" w:cs="Arial"/>
        </w:rPr>
        <w:t xml:space="preserve">There have been no substantial changes to the </w:t>
      </w:r>
      <w:r>
        <w:rPr>
          <w:rFonts w:ascii="Arial" w:hAnsi="Arial" w:cs="Arial"/>
        </w:rPr>
        <w:t>nation</w:t>
      </w:r>
      <w:r w:rsidRPr="00274D52">
        <w:rPr>
          <w:rFonts w:ascii="Arial" w:hAnsi="Arial" w:cs="Arial"/>
        </w:rPr>
        <w:t xml:space="preserve">al strategic and/or service plans of the </w:t>
      </w:r>
      <w:r>
        <w:rPr>
          <w:rFonts w:ascii="Arial" w:hAnsi="Arial" w:cs="Arial"/>
        </w:rPr>
        <w:t>Board</w:t>
      </w:r>
      <w:r w:rsidRPr="00274D52">
        <w:rPr>
          <w:rFonts w:ascii="Arial" w:hAnsi="Arial" w:cs="Arial"/>
        </w:rPr>
        <w:t xml:space="preserve"> since the approval of the 2017/18 PAMS in May 2017.</w:t>
      </w:r>
    </w:p>
    <w:p w:rsidR="00274D52" w:rsidRDefault="00274D52" w:rsidP="00274D52">
      <w:pPr>
        <w:ind w:left="1080"/>
        <w:rPr>
          <w:rFonts w:ascii="Arial" w:hAnsi="Arial" w:cs="Arial"/>
        </w:rPr>
      </w:pPr>
    </w:p>
    <w:p w:rsidR="00274D52" w:rsidRDefault="00274D52" w:rsidP="00274D52">
      <w:pPr>
        <w:ind w:left="1080"/>
        <w:rPr>
          <w:rFonts w:ascii="Arial" w:hAnsi="Arial" w:cs="Arial"/>
        </w:rPr>
      </w:pPr>
      <w:r>
        <w:rPr>
          <w:rFonts w:ascii="Arial" w:hAnsi="Arial" w:cs="Arial"/>
        </w:rPr>
        <w:t>During the initial development and subsequent review of PAMS, the following strategic plans continue to be taken into account:</w:t>
      </w:r>
    </w:p>
    <w:p w:rsidR="00274D52" w:rsidRDefault="00274D52" w:rsidP="00274D52">
      <w:pPr>
        <w:ind w:left="1080"/>
        <w:rPr>
          <w:rFonts w:ascii="Arial" w:hAnsi="Arial" w:cs="Arial"/>
        </w:rPr>
      </w:pPr>
    </w:p>
    <w:p w:rsidR="00F127C5" w:rsidRDefault="00274D52">
      <w:pPr>
        <w:pStyle w:val="ListParagraph"/>
        <w:numPr>
          <w:ilvl w:val="2"/>
          <w:numId w:val="40"/>
        </w:numPr>
        <w:spacing w:line="240" w:lineRule="auto"/>
        <w:rPr>
          <w:rFonts w:ascii="Arial" w:hAnsi="Arial" w:cs="Arial"/>
          <w:sz w:val="24"/>
          <w:szCs w:val="24"/>
        </w:rPr>
      </w:pPr>
      <w:r w:rsidRPr="00DB6FC1">
        <w:rPr>
          <w:rFonts w:ascii="Arial" w:hAnsi="Arial" w:cs="Arial"/>
          <w:sz w:val="24"/>
          <w:szCs w:val="24"/>
        </w:rPr>
        <w:t>Health and Social Care Delivery Plan – Scottish Government’s Delivery Plan which describes how health and social care will evolve through a continual focus on better health, better care and better value. Services and functions of the health service which can be delivered more efficiently at national level will be done on a “Once for Scotland” basis.</w:t>
      </w:r>
    </w:p>
    <w:p w:rsidR="00274D52" w:rsidRPr="00274D52" w:rsidRDefault="00274D52" w:rsidP="00274D52">
      <w:pPr>
        <w:ind w:left="1080"/>
        <w:rPr>
          <w:rFonts w:ascii="Arial" w:hAnsi="Arial" w:cs="Arial"/>
        </w:rPr>
      </w:pPr>
      <w:r w:rsidRPr="00274D52">
        <w:rPr>
          <w:rFonts w:ascii="Arial" w:hAnsi="Arial" w:cs="Arial"/>
        </w:rPr>
        <w:t xml:space="preserve">In addition, as the work on the Regional Delivery Plans and </w:t>
      </w:r>
      <w:r w:rsidR="00495A47">
        <w:rPr>
          <w:rFonts w:ascii="Arial" w:hAnsi="Arial" w:cs="Arial"/>
        </w:rPr>
        <w:t>National Board Discussion Document</w:t>
      </w:r>
      <w:r w:rsidRPr="00274D52">
        <w:rPr>
          <w:rFonts w:ascii="Arial" w:hAnsi="Arial" w:cs="Arial"/>
        </w:rPr>
        <w:t xml:space="preserve"> (as referenced previously) develops into a clear implementation plan, this will also be considered in our Strategy review and update.</w:t>
      </w:r>
    </w:p>
    <w:p w:rsidR="00274D52" w:rsidRPr="00274D52" w:rsidRDefault="00274D52" w:rsidP="00274D52">
      <w:pPr>
        <w:rPr>
          <w:rFonts w:ascii="Arial" w:hAnsi="Arial" w:cs="Arial"/>
        </w:rPr>
      </w:pPr>
    </w:p>
    <w:p w:rsidR="00F127C5" w:rsidRDefault="00274D52">
      <w:pPr>
        <w:ind w:left="1080"/>
        <w:rPr>
          <w:rFonts w:ascii="Arial" w:hAnsi="Arial" w:cs="Arial"/>
        </w:rPr>
      </w:pPr>
      <w:r>
        <w:rPr>
          <w:rFonts w:ascii="Arial" w:hAnsi="Arial" w:cs="Arial"/>
        </w:rPr>
        <w:t xml:space="preserve">The Board has also undertaken a very detailed demand and capacity review as part of the planning for the elective centres. </w:t>
      </w:r>
    </w:p>
    <w:p w:rsidR="00274D52" w:rsidRDefault="00274D52" w:rsidP="00274D52">
      <w:pPr>
        <w:spacing w:line="276" w:lineRule="auto"/>
        <w:ind w:left="1080"/>
        <w:rPr>
          <w:rFonts w:ascii="Arial" w:hAnsi="Arial" w:cs="Arial"/>
        </w:rPr>
      </w:pPr>
    </w:p>
    <w:p w:rsidR="00274D52" w:rsidRPr="003B597E" w:rsidRDefault="00274D52" w:rsidP="00274D52">
      <w:pPr>
        <w:spacing w:line="276" w:lineRule="auto"/>
        <w:ind w:left="1080"/>
        <w:rPr>
          <w:rFonts w:ascii="Arial" w:hAnsi="Arial" w:cs="Arial"/>
        </w:rPr>
      </w:pPr>
      <w:r>
        <w:rPr>
          <w:rFonts w:ascii="Arial" w:hAnsi="Arial" w:cs="Arial"/>
        </w:rPr>
        <w:t xml:space="preserve">The Board has also been working on </w:t>
      </w:r>
      <w:r w:rsidR="00FC032B">
        <w:rPr>
          <w:rFonts w:ascii="Arial" w:hAnsi="Arial" w:cs="Arial"/>
        </w:rPr>
        <w:t xml:space="preserve">a </w:t>
      </w:r>
      <w:r w:rsidRPr="003B597E">
        <w:rPr>
          <w:rFonts w:ascii="Arial" w:hAnsi="Arial" w:cs="Arial"/>
        </w:rPr>
        <w:t>Property Strategy</w:t>
      </w:r>
      <w:r>
        <w:rPr>
          <w:rFonts w:ascii="Arial" w:hAnsi="Arial" w:cs="Arial"/>
        </w:rPr>
        <w:t xml:space="preserve"> which is summarised in the </w:t>
      </w:r>
      <w:r w:rsidR="00DB6FC1">
        <w:rPr>
          <w:rFonts w:ascii="Arial" w:hAnsi="Arial" w:cs="Arial"/>
        </w:rPr>
        <w:t>master plan</w:t>
      </w:r>
      <w:r>
        <w:rPr>
          <w:rFonts w:ascii="Arial" w:hAnsi="Arial" w:cs="Arial"/>
        </w:rPr>
        <w:t xml:space="preserve"> referred to in this document with the </w:t>
      </w:r>
      <w:r w:rsidRPr="003B597E">
        <w:rPr>
          <w:rFonts w:ascii="Arial" w:hAnsi="Arial" w:cs="Arial"/>
        </w:rPr>
        <w:t xml:space="preserve">main aims of the </w:t>
      </w:r>
      <w:r>
        <w:rPr>
          <w:rFonts w:ascii="Arial" w:hAnsi="Arial" w:cs="Arial"/>
        </w:rPr>
        <w:t>Strategy:</w:t>
      </w:r>
    </w:p>
    <w:p w:rsidR="00274D52" w:rsidRPr="00274D52" w:rsidRDefault="00274D52" w:rsidP="00274D52">
      <w:pPr>
        <w:pStyle w:val="ListParagraph"/>
        <w:numPr>
          <w:ilvl w:val="0"/>
          <w:numId w:val="44"/>
        </w:numPr>
        <w:spacing w:after="0" w:line="240" w:lineRule="auto"/>
        <w:jc w:val="both"/>
        <w:rPr>
          <w:rFonts w:ascii="Arial" w:hAnsi="Arial" w:cs="Arial"/>
          <w:sz w:val="24"/>
          <w:szCs w:val="24"/>
        </w:rPr>
      </w:pPr>
      <w:r w:rsidRPr="00274D52">
        <w:rPr>
          <w:rFonts w:ascii="Arial" w:hAnsi="Arial" w:cs="Arial"/>
          <w:sz w:val="24"/>
          <w:szCs w:val="24"/>
        </w:rPr>
        <w:t xml:space="preserve">To describe the condition and performance of the current estate owned by the </w:t>
      </w:r>
      <w:r w:rsidR="00FC032B">
        <w:rPr>
          <w:rFonts w:ascii="Arial" w:hAnsi="Arial" w:cs="Arial"/>
          <w:sz w:val="24"/>
          <w:szCs w:val="24"/>
        </w:rPr>
        <w:t>Board</w:t>
      </w:r>
      <w:r w:rsidR="001266C0">
        <w:rPr>
          <w:rFonts w:ascii="Arial" w:hAnsi="Arial" w:cs="Arial"/>
          <w:sz w:val="24"/>
          <w:szCs w:val="24"/>
        </w:rPr>
        <w:t>;</w:t>
      </w:r>
    </w:p>
    <w:p w:rsidR="00274D52" w:rsidRPr="006E7F53" w:rsidRDefault="00274D52" w:rsidP="00FC032B">
      <w:pPr>
        <w:pStyle w:val="ListParagraph"/>
        <w:numPr>
          <w:ilvl w:val="0"/>
          <w:numId w:val="44"/>
        </w:numPr>
        <w:spacing w:after="0" w:line="240" w:lineRule="auto"/>
        <w:jc w:val="both"/>
        <w:rPr>
          <w:rFonts w:ascii="Arial" w:hAnsi="Arial" w:cs="Arial"/>
          <w:sz w:val="24"/>
          <w:szCs w:val="24"/>
        </w:rPr>
      </w:pPr>
      <w:r w:rsidRPr="006E7F53">
        <w:rPr>
          <w:rFonts w:ascii="Arial" w:hAnsi="Arial" w:cs="Arial"/>
          <w:sz w:val="24"/>
          <w:szCs w:val="24"/>
        </w:rPr>
        <w:t xml:space="preserve">To describe the strategic vision for the estate supporting the 2020 strategy of the </w:t>
      </w:r>
      <w:r w:rsidR="00FC032B" w:rsidRPr="006E7F53">
        <w:rPr>
          <w:rFonts w:ascii="Arial" w:hAnsi="Arial" w:cs="Arial"/>
          <w:sz w:val="24"/>
          <w:szCs w:val="24"/>
        </w:rPr>
        <w:t>Board</w:t>
      </w:r>
      <w:r w:rsidR="001266C0" w:rsidRPr="006E7F53">
        <w:rPr>
          <w:rFonts w:ascii="Arial" w:hAnsi="Arial" w:cs="Arial"/>
          <w:sz w:val="24"/>
          <w:szCs w:val="24"/>
        </w:rPr>
        <w:t>;</w:t>
      </w:r>
      <w:r w:rsidRPr="006E7F53">
        <w:rPr>
          <w:rFonts w:ascii="Arial" w:hAnsi="Arial" w:cs="Arial"/>
          <w:sz w:val="24"/>
          <w:szCs w:val="24"/>
        </w:rPr>
        <w:t xml:space="preserve"> and </w:t>
      </w:r>
    </w:p>
    <w:p w:rsidR="00274D52" w:rsidRDefault="00274D52" w:rsidP="00FC032B">
      <w:pPr>
        <w:pStyle w:val="ListParagraph"/>
        <w:numPr>
          <w:ilvl w:val="0"/>
          <w:numId w:val="44"/>
        </w:numPr>
        <w:spacing w:after="0" w:line="240" w:lineRule="auto"/>
        <w:jc w:val="both"/>
        <w:rPr>
          <w:rFonts w:ascii="Arial" w:hAnsi="Arial" w:cs="Arial"/>
          <w:sz w:val="24"/>
          <w:szCs w:val="24"/>
        </w:rPr>
      </w:pPr>
      <w:r w:rsidRPr="006E7F53">
        <w:rPr>
          <w:rFonts w:ascii="Arial" w:hAnsi="Arial" w:cs="Arial"/>
          <w:sz w:val="24"/>
          <w:szCs w:val="24"/>
        </w:rPr>
        <w:t>To identify the prioritisation and investment plan to deliver this strategic vision</w:t>
      </w:r>
      <w:r w:rsidR="001266C0">
        <w:rPr>
          <w:rFonts w:ascii="Arial" w:hAnsi="Arial" w:cs="Arial"/>
          <w:sz w:val="24"/>
          <w:szCs w:val="24"/>
        </w:rPr>
        <w:t>.</w:t>
      </w:r>
      <w:r w:rsidRPr="00274D52">
        <w:rPr>
          <w:rFonts w:ascii="Arial" w:hAnsi="Arial" w:cs="Arial"/>
          <w:sz w:val="24"/>
          <w:szCs w:val="24"/>
        </w:rPr>
        <w:t xml:space="preserve"> </w:t>
      </w:r>
    </w:p>
    <w:p w:rsidR="00FC032B" w:rsidRPr="00FC032B" w:rsidRDefault="00FC032B" w:rsidP="00FC032B">
      <w:pPr>
        <w:jc w:val="both"/>
        <w:rPr>
          <w:rFonts w:ascii="Arial" w:hAnsi="Arial" w:cs="Arial"/>
        </w:rPr>
      </w:pPr>
    </w:p>
    <w:p w:rsidR="00F127C5" w:rsidRDefault="00274D52">
      <w:pPr>
        <w:ind w:left="720"/>
        <w:rPr>
          <w:rFonts w:ascii="Arial" w:hAnsi="Arial" w:cs="Arial"/>
        </w:rPr>
      </w:pPr>
      <w:r>
        <w:rPr>
          <w:rFonts w:ascii="Arial" w:hAnsi="Arial" w:cs="Arial"/>
        </w:rPr>
        <w:t>The work from each of these strands of activities will be described further in our PAMS in 2019 and will link to the work on the Property Strategy being developed.</w:t>
      </w:r>
    </w:p>
    <w:p w:rsidR="00274D52" w:rsidRPr="00FC032B" w:rsidRDefault="00274D52" w:rsidP="00FC032B">
      <w:pPr>
        <w:rPr>
          <w:rFonts w:ascii="Arial" w:hAnsi="Arial" w:cs="Arial"/>
        </w:rPr>
      </w:pPr>
    </w:p>
    <w:p w:rsidR="00274D52" w:rsidRPr="00FC032B" w:rsidRDefault="00FC032B" w:rsidP="00FC032B">
      <w:pPr>
        <w:spacing w:line="276" w:lineRule="auto"/>
        <w:ind w:left="720"/>
        <w:rPr>
          <w:rFonts w:ascii="Arial" w:hAnsi="Arial" w:cs="Arial"/>
        </w:rPr>
      </w:pPr>
      <w:r>
        <w:rPr>
          <w:rFonts w:ascii="Arial" w:hAnsi="Arial" w:cs="Arial"/>
        </w:rPr>
        <w:t>Key elements from the strategic development that are being considered in detail are noted below:</w:t>
      </w:r>
    </w:p>
    <w:p w:rsidR="000C3BA0" w:rsidRPr="000C3BA0" w:rsidRDefault="000C3BA0" w:rsidP="000C3BA0">
      <w:pPr>
        <w:rPr>
          <w:rFonts w:ascii="Arial" w:hAnsi="Arial" w:cs="Arial"/>
          <w:b/>
        </w:rPr>
      </w:pPr>
    </w:p>
    <w:p w:rsidR="0013588E" w:rsidRPr="00274D52" w:rsidRDefault="0013588E" w:rsidP="00274D52">
      <w:pPr>
        <w:ind w:left="720"/>
        <w:rPr>
          <w:rFonts w:ascii="Arial" w:hAnsi="Arial" w:cs="Arial"/>
          <w:u w:val="single"/>
        </w:rPr>
      </w:pPr>
      <w:r w:rsidRPr="00274D52">
        <w:rPr>
          <w:rFonts w:ascii="Arial" w:hAnsi="Arial" w:cs="Arial"/>
          <w:u w:val="single"/>
        </w:rPr>
        <w:t>Elective Centres</w:t>
      </w:r>
    </w:p>
    <w:p w:rsidR="0013588E" w:rsidRPr="00FC032B" w:rsidRDefault="0013588E" w:rsidP="00FC032B">
      <w:pPr>
        <w:ind w:left="720"/>
        <w:rPr>
          <w:rFonts w:ascii="Arial" w:hAnsi="Arial" w:cs="Arial"/>
        </w:rPr>
      </w:pPr>
      <w:r w:rsidRPr="00FC032B">
        <w:rPr>
          <w:rFonts w:ascii="Arial" w:hAnsi="Arial" w:cs="Arial"/>
        </w:rPr>
        <w:t>A separate expansion Program</w:t>
      </w:r>
      <w:r w:rsidR="001703D7">
        <w:rPr>
          <w:rFonts w:ascii="Arial" w:hAnsi="Arial" w:cs="Arial"/>
        </w:rPr>
        <w:t>me</w:t>
      </w:r>
      <w:r w:rsidRPr="00FC032B">
        <w:rPr>
          <w:rFonts w:ascii="Arial" w:hAnsi="Arial" w:cs="Arial"/>
        </w:rPr>
        <w:t xml:space="preserve"> Board has been established to oversee the elective treatment centre program</w:t>
      </w:r>
      <w:r w:rsidR="001703D7">
        <w:rPr>
          <w:rFonts w:ascii="Arial" w:hAnsi="Arial" w:cs="Arial"/>
        </w:rPr>
        <w:t>me</w:t>
      </w:r>
      <w:r w:rsidRPr="00FC032B">
        <w:rPr>
          <w:rFonts w:ascii="Arial" w:hAnsi="Arial" w:cs="Arial"/>
        </w:rPr>
        <w:t xml:space="preserve"> which is comprised of representatives’ from the Board, SG Regional planning, Local authority and patient groups.</w:t>
      </w:r>
    </w:p>
    <w:p w:rsidR="0013588E" w:rsidRDefault="0013588E" w:rsidP="00274D52">
      <w:pPr>
        <w:ind w:left="720"/>
        <w:rPr>
          <w:rFonts w:ascii="Arial" w:hAnsi="Arial" w:cs="Arial"/>
        </w:rPr>
      </w:pPr>
    </w:p>
    <w:p w:rsidR="002D5C6B" w:rsidRPr="00274D52" w:rsidRDefault="002D5C6B" w:rsidP="00274D52">
      <w:pPr>
        <w:ind w:left="720"/>
        <w:rPr>
          <w:rFonts w:ascii="Arial" w:hAnsi="Arial" w:cs="Arial"/>
          <w:u w:val="single"/>
        </w:rPr>
      </w:pPr>
      <w:r w:rsidRPr="00274D52">
        <w:rPr>
          <w:rFonts w:ascii="Arial" w:hAnsi="Arial" w:cs="Arial"/>
          <w:u w:val="single"/>
        </w:rPr>
        <w:t>Smarter Offices</w:t>
      </w:r>
    </w:p>
    <w:p w:rsidR="009E7671" w:rsidRPr="00FC032B" w:rsidRDefault="0013588E" w:rsidP="00FC032B">
      <w:pPr>
        <w:ind w:left="720"/>
        <w:rPr>
          <w:rFonts w:ascii="Arial" w:hAnsi="Arial" w:cs="Arial"/>
        </w:rPr>
      </w:pPr>
      <w:r w:rsidRPr="00FC032B">
        <w:rPr>
          <w:rFonts w:ascii="Arial" w:hAnsi="Arial" w:cs="Arial"/>
        </w:rPr>
        <w:t xml:space="preserve">In line with the full PAMS submitted in the </w:t>
      </w:r>
      <w:proofErr w:type="gramStart"/>
      <w:r w:rsidRPr="00FC032B">
        <w:rPr>
          <w:rFonts w:ascii="Arial" w:hAnsi="Arial" w:cs="Arial"/>
        </w:rPr>
        <w:t>p</w:t>
      </w:r>
      <w:r w:rsidR="001266C0">
        <w:rPr>
          <w:rFonts w:ascii="Arial" w:hAnsi="Arial" w:cs="Arial"/>
        </w:rPr>
        <w:t xml:space="preserve">revious </w:t>
      </w:r>
      <w:r w:rsidRPr="00FC032B">
        <w:rPr>
          <w:rFonts w:ascii="Arial" w:hAnsi="Arial" w:cs="Arial"/>
        </w:rPr>
        <w:t xml:space="preserve"> year</w:t>
      </w:r>
      <w:proofErr w:type="gramEnd"/>
      <w:r w:rsidRPr="00FC032B">
        <w:rPr>
          <w:rFonts w:ascii="Arial" w:hAnsi="Arial" w:cs="Arial"/>
        </w:rPr>
        <w:t xml:space="preserve"> work continues with regard to the SG Smarter Offices initiative in both our existing expanded Estate. We are also working closely with Health Facilities Scotland and other National Boards in this regard </w:t>
      </w:r>
    </w:p>
    <w:p w:rsidR="002D5C6B" w:rsidRPr="002D5C6B" w:rsidRDefault="002D5C6B" w:rsidP="002D5C6B">
      <w:pPr>
        <w:rPr>
          <w:rFonts w:ascii="Arial" w:hAnsi="Arial" w:cs="Arial"/>
        </w:rPr>
      </w:pPr>
    </w:p>
    <w:p w:rsidR="009E7671" w:rsidRDefault="009E7671" w:rsidP="009E7671">
      <w:pPr>
        <w:pStyle w:val="ListParagraph"/>
        <w:numPr>
          <w:ilvl w:val="1"/>
          <w:numId w:val="40"/>
        </w:numPr>
        <w:spacing w:after="0" w:line="240" w:lineRule="auto"/>
        <w:rPr>
          <w:rFonts w:ascii="Arial" w:hAnsi="Arial" w:cs="Arial"/>
          <w:b/>
          <w:sz w:val="24"/>
          <w:szCs w:val="24"/>
        </w:rPr>
      </w:pPr>
      <w:r>
        <w:rPr>
          <w:rFonts w:ascii="Arial" w:hAnsi="Arial" w:cs="Arial"/>
          <w:b/>
          <w:sz w:val="24"/>
          <w:szCs w:val="24"/>
        </w:rPr>
        <w:t>Local</w:t>
      </w:r>
      <w:r w:rsidRPr="009E7671">
        <w:rPr>
          <w:rFonts w:ascii="Arial" w:hAnsi="Arial" w:cs="Arial"/>
          <w:b/>
          <w:sz w:val="24"/>
          <w:szCs w:val="24"/>
        </w:rPr>
        <w:t xml:space="preserve"> </w:t>
      </w:r>
      <w:r>
        <w:rPr>
          <w:rFonts w:ascii="Arial" w:hAnsi="Arial" w:cs="Arial"/>
          <w:b/>
          <w:sz w:val="24"/>
          <w:szCs w:val="24"/>
        </w:rPr>
        <w:t>context</w:t>
      </w:r>
    </w:p>
    <w:p w:rsidR="00FC032B" w:rsidRPr="00FC032B" w:rsidRDefault="0013588E" w:rsidP="00FC032B">
      <w:pPr>
        <w:ind w:left="360" w:firstLine="720"/>
        <w:rPr>
          <w:rFonts w:ascii="Arial" w:hAnsi="Arial" w:cs="Arial"/>
        </w:rPr>
      </w:pPr>
      <w:r w:rsidRPr="00FC032B">
        <w:rPr>
          <w:rFonts w:ascii="Arial" w:hAnsi="Arial" w:cs="Arial"/>
          <w:u w:val="single"/>
        </w:rPr>
        <w:t>Investment in E-Health infrastructure</w:t>
      </w:r>
    </w:p>
    <w:p w:rsidR="00FC032B" w:rsidRDefault="00FC032B" w:rsidP="00FC032B">
      <w:pPr>
        <w:ind w:left="1080"/>
        <w:rPr>
          <w:rFonts w:ascii="Arial" w:hAnsi="Arial" w:cs="Arial"/>
        </w:rPr>
      </w:pPr>
    </w:p>
    <w:p w:rsidR="0013588E" w:rsidRPr="00FC032B" w:rsidRDefault="00FC032B" w:rsidP="00FC032B">
      <w:pPr>
        <w:ind w:left="1080"/>
        <w:rPr>
          <w:rFonts w:ascii="Arial" w:hAnsi="Arial" w:cs="Arial"/>
        </w:rPr>
      </w:pPr>
      <w:r>
        <w:rPr>
          <w:rFonts w:ascii="Arial" w:hAnsi="Arial" w:cs="Arial"/>
        </w:rPr>
        <w:t>I</w:t>
      </w:r>
      <w:r w:rsidR="002D5C6B" w:rsidRPr="00FC032B">
        <w:rPr>
          <w:rFonts w:ascii="Arial" w:hAnsi="Arial" w:cs="Arial"/>
        </w:rPr>
        <w:t>n</w:t>
      </w:r>
      <w:r w:rsidR="0013588E" w:rsidRPr="00FC032B">
        <w:rPr>
          <w:rFonts w:ascii="Arial" w:hAnsi="Arial" w:cs="Arial"/>
        </w:rPr>
        <w:t xml:space="preserve"> line with the Board’s e-Health strategy the primary focus for e-Health will be the introduction of electronic patient records.  In addition the hospital expansion will be a key focus for the e-Health strategy over the coming few years.</w:t>
      </w:r>
    </w:p>
    <w:p w:rsidR="009E7671" w:rsidRPr="009E7671" w:rsidRDefault="009E7671" w:rsidP="009E7671">
      <w:pPr>
        <w:rPr>
          <w:rFonts w:ascii="Arial" w:hAnsi="Arial" w:cs="Arial"/>
          <w:b/>
        </w:rPr>
      </w:pPr>
    </w:p>
    <w:p w:rsidR="009E7671" w:rsidRPr="00FC032B" w:rsidRDefault="00AB01FA" w:rsidP="00FC032B">
      <w:pPr>
        <w:ind w:left="360" w:firstLine="720"/>
        <w:rPr>
          <w:rFonts w:ascii="Arial" w:hAnsi="Arial" w:cs="Arial"/>
          <w:u w:val="single"/>
        </w:rPr>
      </w:pPr>
      <w:r w:rsidRPr="00FC032B">
        <w:rPr>
          <w:rFonts w:ascii="Arial" w:hAnsi="Arial" w:cs="Arial"/>
          <w:u w:val="single"/>
        </w:rPr>
        <w:t>Master plan</w:t>
      </w:r>
      <w:r w:rsidR="009E7671" w:rsidRPr="00FC032B">
        <w:rPr>
          <w:rFonts w:ascii="Arial" w:hAnsi="Arial" w:cs="Arial"/>
          <w:u w:val="single"/>
        </w:rPr>
        <w:t xml:space="preserve"> update</w:t>
      </w:r>
    </w:p>
    <w:p w:rsidR="00AB01FA" w:rsidRDefault="00AB01FA" w:rsidP="003C6ED5">
      <w:pPr>
        <w:pStyle w:val="ListParagraph"/>
        <w:spacing w:after="0" w:line="240" w:lineRule="auto"/>
        <w:ind w:left="1080"/>
        <w:rPr>
          <w:rFonts w:ascii="Arial" w:hAnsi="Arial" w:cs="Arial"/>
          <w:b/>
          <w:sz w:val="24"/>
          <w:szCs w:val="24"/>
        </w:rPr>
      </w:pPr>
    </w:p>
    <w:p w:rsidR="00AB01FA" w:rsidRDefault="00AB01FA" w:rsidP="003C6ED5">
      <w:pPr>
        <w:pStyle w:val="ListParagraph"/>
        <w:spacing w:after="0" w:line="240" w:lineRule="auto"/>
        <w:ind w:left="1080"/>
        <w:rPr>
          <w:rFonts w:ascii="Arial" w:hAnsi="Arial" w:cs="Arial"/>
          <w:sz w:val="24"/>
          <w:szCs w:val="24"/>
        </w:rPr>
      </w:pPr>
      <w:r w:rsidRPr="003C6ED5">
        <w:rPr>
          <w:rFonts w:ascii="Arial" w:hAnsi="Arial" w:cs="Arial"/>
          <w:sz w:val="24"/>
          <w:szCs w:val="24"/>
        </w:rPr>
        <w:t xml:space="preserve">In October 2016, the </w:t>
      </w:r>
      <w:r w:rsidR="00A57591">
        <w:rPr>
          <w:rFonts w:ascii="Arial" w:hAnsi="Arial" w:cs="Arial"/>
          <w:sz w:val="24"/>
          <w:szCs w:val="24"/>
        </w:rPr>
        <w:t>Board</w:t>
      </w:r>
      <w:r w:rsidRPr="003C6ED5">
        <w:rPr>
          <w:rFonts w:ascii="Arial" w:hAnsi="Arial" w:cs="Arial"/>
          <w:sz w:val="24"/>
          <w:szCs w:val="24"/>
        </w:rPr>
        <w:t xml:space="preserve"> appointed AECOM as lead advisor with Ryder Architecture to prepare a master plan for the development of the Golden Jubilee National Hospital (GJNH)</w:t>
      </w:r>
      <w:r w:rsidR="00A57591">
        <w:rPr>
          <w:rFonts w:ascii="Arial" w:hAnsi="Arial" w:cs="Arial"/>
          <w:sz w:val="24"/>
          <w:szCs w:val="24"/>
        </w:rPr>
        <w:t xml:space="preserve"> site</w:t>
      </w:r>
      <w:r w:rsidRPr="003C6ED5">
        <w:rPr>
          <w:rFonts w:ascii="Arial" w:hAnsi="Arial" w:cs="Arial"/>
          <w:sz w:val="24"/>
          <w:szCs w:val="24"/>
        </w:rPr>
        <w:t xml:space="preserve">. The master plan </w:t>
      </w:r>
      <w:r w:rsidR="00E523F4" w:rsidRPr="003C6ED5">
        <w:rPr>
          <w:rFonts w:ascii="Arial" w:hAnsi="Arial" w:cs="Arial"/>
          <w:sz w:val="24"/>
          <w:szCs w:val="24"/>
        </w:rPr>
        <w:t>mapped t</w:t>
      </w:r>
      <w:r w:rsidRPr="003C6ED5">
        <w:rPr>
          <w:rFonts w:ascii="Arial" w:hAnsi="Arial" w:cs="Arial"/>
          <w:sz w:val="24"/>
          <w:szCs w:val="24"/>
        </w:rPr>
        <w:t>he next ten years’ development at the GJNH encompassing the already identified service developments as well as the less defined anticipated developments.</w:t>
      </w:r>
    </w:p>
    <w:p w:rsidR="00A57591" w:rsidRPr="003C6ED5" w:rsidRDefault="00A57591" w:rsidP="003C6ED5">
      <w:pPr>
        <w:pStyle w:val="ListParagraph"/>
        <w:spacing w:after="0" w:line="240" w:lineRule="auto"/>
        <w:ind w:left="1080"/>
        <w:rPr>
          <w:rFonts w:ascii="Arial" w:hAnsi="Arial" w:cs="Arial"/>
          <w:sz w:val="24"/>
          <w:szCs w:val="24"/>
        </w:rPr>
      </w:pPr>
    </w:p>
    <w:p w:rsidR="00AB01FA" w:rsidRDefault="00AB01FA" w:rsidP="003C6ED5">
      <w:pPr>
        <w:pStyle w:val="ListParagraph"/>
        <w:spacing w:after="0" w:line="240" w:lineRule="auto"/>
        <w:ind w:left="1080"/>
        <w:rPr>
          <w:rFonts w:ascii="Arial" w:hAnsi="Arial" w:cs="Arial"/>
          <w:sz w:val="24"/>
          <w:szCs w:val="24"/>
        </w:rPr>
      </w:pPr>
      <w:r w:rsidRPr="003C6ED5">
        <w:rPr>
          <w:rFonts w:ascii="Arial" w:hAnsi="Arial" w:cs="Arial"/>
          <w:sz w:val="24"/>
          <w:szCs w:val="24"/>
        </w:rPr>
        <w:t>Th</w:t>
      </w:r>
      <w:r w:rsidR="00E523F4" w:rsidRPr="003C6ED5">
        <w:rPr>
          <w:rFonts w:ascii="Arial" w:hAnsi="Arial" w:cs="Arial"/>
          <w:sz w:val="24"/>
          <w:szCs w:val="24"/>
        </w:rPr>
        <w:t>e</w:t>
      </w:r>
      <w:r w:rsidRPr="003C6ED5">
        <w:rPr>
          <w:rFonts w:ascii="Arial" w:hAnsi="Arial" w:cs="Arial"/>
          <w:sz w:val="24"/>
          <w:szCs w:val="24"/>
        </w:rPr>
        <w:t xml:space="preserve"> master plan builds on Ryder Architecture’s August 2015 Feasibility Report for an eight new Operating Theatre Suite and Ophthalmology Unit. The significant elements of this master plan are:</w:t>
      </w:r>
    </w:p>
    <w:p w:rsidR="003C6ED5" w:rsidRPr="003C6ED5" w:rsidRDefault="003C6ED5" w:rsidP="003C6ED5">
      <w:pPr>
        <w:pStyle w:val="ListParagraph"/>
        <w:spacing w:after="0" w:line="240" w:lineRule="auto"/>
        <w:ind w:left="1080"/>
        <w:rPr>
          <w:rFonts w:ascii="Arial" w:hAnsi="Arial" w:cs="Arial"/>
          <w:sz w:val="24"/>
          <w:szCs w:val="24"/>
        </w:rPr>
      </w:pPr>
    </w:p>
    <w:p w:rsidR="00AB01FA" w:rsidRPr="00AB01FA" w:rsidRDefault="00AB01FA" w:rsidP="00AB01FA">
      <w:pPr>
        <w:pStyle w:val="ListParagraph"/>
        <w:numPr>
          <w:ilvl w:val="0"/>
          <w:numId w:val="39"/>
        </w:numPr>
        <w:spacing w:after="0" w:line="240" w:lineRule="auto"/>
        <w:rPr>
          <w:rFonts w:ascii="Arial" w:hAnsi="Arial" w:cs="Arial"/>
          <w:sz w:val="24"/>
          <w:szCs w:val="24"/>
        </w:rPr>
      </w:pPr>
      <w:r w:rsidRPr="00AB01FA">
        <w:rPr>
          <w:rFonts w:ascii="Arial" w:hAnsi="Arial" w:cs="Arial"/>
          <w:sz w:val="24"/>
          <w:szCs w:val="24"/>
        </w:rPr>
        <w:t>A new combined Ophthalmology Outpatient and Day Surgery Unit</w:t>
      </w:r>
      <w:r w:rsidR="00EB161A">
        <w:rPr>
          <w:rFonts w:ascii="Arial" w:hAnsi="Arial" w:cs="Arial"/>
          <w:sz w:val="24"/>
          <w:szCs w:val="24"/>
        </w:rPr>
        <w:t xml:space="preserve"> of circa 1500 sqm</w:t>
      </w:r>
    </w:p>
    <w:p w:rsidR="00AB01FA" w:rsidRPr="00AB01FA" w:rsidRDefault="00AB01FA" w:rsidP="00AB01FA">
      <w:pPr>
        <w:pStyle w:val="ListParagraph"/>
        <w:numPr>
          <w:ilvl w:val="0"/>
          <w:numId w:val="39"/>
        </w:numPr>
        <w:spacing w:after="0" w:line="240" w:lineRule="auto"/>
        <w:rPr>
          <w:rFonts w:ascii="Arial" w:hAnsi="Arial" w:cs="Arial"/>
          <w:sz w:val="24"/>
          <w:szCs w:val="24"/>
        </w:rPr>
      </w:pPr>
      <w:r w:rsidRPr="00AB01FA">
        <w:rPr>
          <w:rFonts w:ascii="Arial" w:hAnsi="Arial" w:cs="Arial"/>
          <w:sz w:val="24"/>
          <w:szCs w:val="24"/>
        </w:rPr>
        <w:t>Six new operating theatre suites functioning as a parallel unit as part of the enlarged theatre department along with a same day admissions unit</w:t>
      </w:r>
    </w:p>
    <w:p w:rsidR="00AB01FA" w:rsidRPr="00AB01FA" w:rsidRDefault="00AB01FA" w:rsidP="00AB01FA">
      <w:pPr>
        <w:pStyle w:val="ListParagraph"/>
        <w:numPr>
          <w:ilvl w:val="0"/>
          <w:numId w:val="39"/>
        </w:numPr>
        <w:spacing w:after="0" w:line="240" w:lineRule="auto"/>
        <w:rPr>
          <w:rFonts w:ascii="Arial" w:hAnsi="Arial" w:cs="Arial"/>
          <w:sz w:val="24"/>
          <w:szCs w:val="24"/>
        </w:rPr>
      </w:pPr>
      <w:r w:rsidRPr="00AB01FA">
        <w:rPr>
          <w:rFonts w:ascii="Arial" w:hAnsi="Arial" w:cs="Arial"/>
          <w:sz w:val="24"/>
          <w:szCs w:val="24"/>
        </w:rPr>
        <w:lastRenderedPageBreak/>
        <w:t>A new combined Day Surgery and Endoscopy Unit with two operating theatres and two endoscopy procedure rooms</w:t>
      </w:r>
    </w:p>
    <w:p w:rsidR="00AB01FA" w:rsidRPr="00AB01FA" w:rsidRDefault="00AB01FA" w:rsidP="00AB01FA">
      <w:pPr>
        <w:pStyle w:val="ListParagraph"/>
        <w:numPr>
          <w:ilvl w:val="0"/>
          <w:numId w:val="39"/>
        </w:numPr>
        <w:spacing w:after="0" w:line="240" w:lineRule="auto"/>
        <w:rPr>
          <w:rFonts w:ascii="Arial" w:hAnsi="Arial" w:cs="Arial"/>
          <w:sz w:val="24"/>
          <w:szCs w:val="24"/>
        </w:rPr>
      </w:pPr>
      <w:r w:rsidRPr="00AB01FA">
        <w:rPr>
          <w:rFonts w:ascii="Arial" w:hAnsi="Arial" w:cs="Arial"/>
          <w:sz w:val="24"/>
          <w:szCs w:val="24"/>
        </w:rPr>
        <w:t>Expanded outpatient, imaging, and inpatient facilities</w:t>
      </w:r>
    </w:p>
    <w:p w:rsidR="00AB01FA" w:rsidRPr="00AB01FA" w:rsidRDefault="00AB01FA" w:rsidP="00AB01FA">
      <w:pPr>
        <w:pStyle w:val="ListParagraph"/>
        <w:numPr>
          <w:ilvl w:val="0"/>
          <w:numId w:val="39"/>
        </w:numPr>
        <w:spacing w:after="0" w:line="240" w:lineRule="auto"/>
        <w:rPr>
          <w:rFonts w:ascii="Arial" w:hAnsi="Arial" w:cs="Arial"/>
          <w:sz w:val="24"/>
          <w:szCs w:val="24"/>
        </w:rPr>
      </w:pPr>
      <w:r w:rsidRPr="00AB01FA">
        <w:rPr>
          <w:rFonts w:ascii="Arial" w:hAnsi="Arial" w:cs="Arial"/>
          <w:sz w:val="24"/>
          <w:szCs w:val="24"/>
        </w:rPr>
        <w:t>Expanded office and other clinical and non clinical support facilities</w:t>
      </w:r>
    </w:p>
    <w:p w:rsidR="00AB01FA" w:rsidRPr="00AB01FA" w:rsidRDefault="00AB01FA" w:rsidP="00AB01FA">
      <w:pPr>
        <w:pStyle w:val="ListParagraph"/>
        <w:numPr>
          <w:ilvl w:val="0"/>
          <w:numId w:val="39"/>
        </w:numPr>
        <w:spacing w:after="0" w:line="240" w:lineRule="auto"/>
        <w:rPr>
          <w:rFonts w:ascii="Arial" w:hAnsi="Arial" w:cs="Arial"/>
          <w:sz w:val="24"/>
          <w:szCs w:val="24"/>
        </w:rPr>
      </w:pPr>
      <w:r w:rsidRPr="00AB01FA">
        <w:rPr>
          <w:rFonts w:ascii="Arial" w:hAnsi="Arial" w:cs="Arial"/>
          <w:sz w:val="24"/>
          <w:szCs w:val="24"/>
        </w:rPr>
        <w:t>A reconfigured and enlarged hospital entrance court</w:t>
      </w:r>
    </w:p>
    <w:p w:rsidR="00AB01FA" w:rsidRDefault="00AB01FA" w:rsidP="00AB01FA">
      <w:pPr>
        <w:pStyle w:val="ListParagraph"/>
        <w:numPr>
          <w:ilvl w:val="0"/>
          <w:numId w:val="39"/>
        </w:numPr>
        <w:spacing w:after="0" w:line="240" w:lineRule="auto"/>
        <w:rPr>
          <w:rFonts w:ascii="Arial" w:hAnsi="Arial" w:cs="Arial"/>
          <w:sz w:val="24"/>
          <w:szCs w:val="24"/>
        </w:rPr>
      </w:pPr>
      <w:r w:rsidRPr="00AB01FA">
        <w:rPr>
          <w:rFonts w:ascii="Arial" w:hAnsi="Arial" w:cs="Arial"/>
          <w:sz w:val="24"/>
          <w:szCs w:val="24"/>
        </w:rPr>
        <w:t>Associated additional car parking spaces</w:t>
      </w:r>
    </w:p>
    <w:p w:rsidR="00E523F4" w:rsidRDefault="00E523F4" w:rsidP="00E523F4">
      <w:pPr>
        <w:ind w:left="1080"/>
        <w:rPr>
          <w:rFonts w:ascii="Arial" w:hAnsi="Arial" w:cs="Arial"/>
        </w:rPr>
      </w:pPr>
    </w:p>
    <w:p w:rsidR="00E523F4" w:rsidRDefault="00E523F4" w:rsidP="00E523F4">
      <w:pPr>
        <w:ind w:left="1080"/>
        <w:rPr>
          <w:rFonts w:ascii="Arial" w:hAnsi="Arial" w:cs="Arial"/>
        </w:rPr>
      </w:pPr>
      <w:r w:rsidRPr="00E523F4">
        <w:rPr>
          <w:rFonts w:ascii="Arial" w:hAnsi="Arial" w:cs="Arial"/>
        </w:rPr>
        <w:t>The process used the</w:t>
      </w:r>
      <w:r>
        <w:rPr>
          <w:rFonts w:ascii="Arial" w:hAnsi="Arial" w:cs="Arial"/>
        </w:rPr>
        <w:t xml:space="preserve"> analysis of the buildings floor </w:t>
      </w:r>
      <w:r w:rsidRPr="00E523F4">
        <w:rPr>
          <w:rFonts w:ascii="Arial" w:hAnsi="Arial" w:cs="Arial"/>
        </w:rPr>
        <w:t xml:space="preserve">plans as </w:t>
      </w:r>
      <w:r>
        <w:rPr>
          <w:rFonts w:ascii="Arial" w:hAnsi="Arial" w:cs="Arial"/>
        </w:rPr>
        <w:t>a</w:t>
      </w:r>
      <w:r w:rsidRPr="00E523F4">
        <w:rPr>
          <w:rFonts w:ascii="Arial" w:hAnsi="Arial" w:cs="Arial"/>
        </w:rPr>
        <w:t xml:space="preserve"> base to review the existing accommodation, identify the activities that would be phased out over the next ten years and the activities that would in the context of the proposed developments be better located elsewhere, either on the same level or on an alternative level</w:t>
      </w:r>
      <w:r w:rsidR="007061F3">
        <w:rPr>
          <w:rFonts w:ascii="Arial" w:hAnsi="Arial" w:cs="Arial"/>
        </w:rPr>
        <w:t>.</w:t>
      </w:r>
    </w:p>
    <w:p w:rsidR="00E523F4" w:rsidRDefault="00E523F4" w:rsidP="00E523F4">
      <w:pPr>
        <w:ind w:left="1080"/>
        <w:rPr>
          <w:rFonts w:ascii="Arial" w:hAnsi="Arial" w:cs="Arial"/>
        </w:rPr>
      </w:pPr>
    </w:p>
    <w:p w:rsidR="00E523F4" w:rsidRDefault="00E523F4" w:rsidP="00E523F4">
      <w:pPr>
        <w:ind w:left="1080"/>
        <w:rPr>
          <w:rFonts w:ascii="Arial" w:hAnsi="Arial" w:cs="Arial"/>
        </w:rPr>
      </w:pPr>
      <w:r w:rsidRPr="00E523F4">
        <w:rPr>
          <w:rFonts w:ascii="Arial" w:hAnsi="Arial" w:cs="Arial"/>
        </w:rPr>
        <w:t>The table below collates the areas from the five detail brief plans. The total net balance across all five levels provides a mathematical indication of the additional area required</w:t>
      </w:r>
      <w:r>
        <w:rPr>
          <w:rFonts w:ascii="Arial" w:hAnsi="Arial" w:cs="Arial"/>
        </w:rPr>
        <w:t xml:space="preserve"> circa 10,000 </w:t>
      </w:r>
      <w:proofErr w:type="spellStart"/>
      <w:r>
        <w:rPr>
          <w:rFonts w:ascii="Arial" w:hAnsi="Arial" w:cs="Arial"/>
        </w:rPr>
        <w:t>sqm</w:t>
      </w:r>
      <w:proofErr w:type="spellEnd"/>
      <w:r w:rsidR="007061F3">
        <w:rPr>
          <w:rFonts w:ascii="Arial" w:hAnsi="Arial" w:cs="Arial"/>
        </w:rPr>
        <w:t>.</w:t>
      </w:r>
    </w:p>
    <w:p w:rsidR="00E523F4" w:rsidRDefault="00E523F4" w:rsidP="00E523F4">
      <w:pPr>
        <w:ind w:left="1080"/>
        <w:rPr>
          <w:rFonts w:ascii="Arial" w:hAnsi="Arial" w:cs="Arial"/>
        </w:rPr>
      </w:pPr>
    </w:p>
    <w:p w:rsidR="00E523F4" w:rsidRPr="00E523F4" w:rsidRDefault="00E523F4" w:rsidP="00E523F4">
      <w:pPr>
        <w:ind w:left="1080"/>
        <w:rPr>
          <w:rFonts w:ascii="Arial" w:hAnsi="Arial" w:cs="Arial"/>
        </w:rPr>
      </w:pPr>
      <w:r>
        <w:rPr>
          <w:rFonts w:ascii="Arial" w:hAnsi="Arial" w:cs="Arial"/>
          <w:noProof/>
          <w:lang w:eastAsia="en-GB"/>
        </w:rPr>
        <w:drawing>
          <wp:inline distT="0" distB="0" distL="0" distR="0">
            <wp:extent cx="5274310" cy="2543175"/>
            <wp:effectExtent l="19050" t="0" r="254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74310" cy="2543175"/>
                    </a:xfrm>
                    <a:prstGeom prst="rect">
                      <a:avLst/>
                    </a:prstGeom>
                    <a:noFill/>
                    <a:ln w="9525">
                      <a:noFill/>
                      <a:miter lim="800000"/>
                      <a:headEnd/>
                      <a:tailEnd/>
                    </a:ln>
                  </pic:spPr>
                </pic:pic>
              </a:graphicData>
            </a:graphic>
          </wp:inline>
        </w:drawing>
      </w:r>
    </w:p>
    <w:p w:rsidR="00AB01FA" w:rsidRPr="00AB01FA" w:rsidRDefault="00AB01FA" w:rsidP="00AB01FA">
      <w:pPr>
        <w:ind w:left="1080"/>
        <w:rPr>
          <w:rFonts w:ascii="Arial" w:hAnsi="Arial" w:cs="Arial"/>
        </w:rPr>
      </w:pPr>
    </w:p>
    <w:p w:rsidR="00AB01FA" w:rsidRDefault="00AB01FA" w:rsidP="00AB01FA">
      <w:pPr>
        <w:pStyle w:val="ListParagraph"/>
        <w:spacing w:after="0" w:line="240" w:lineRule="auto"/>
        <w:ind w:left="1080"/>
        <w:rPr>
          <w:rFonts w:ascii="Arial" w:hAnsi="Arial" w:cs="Arial"/>
          <w:sz w:val="24"/>
          <w:szCs w:val="24"/>
        </w:rPr>
      </w:pPr>
      <w:r w:rsidRPr="00E523F4">
        <w:rPr>
          <w:rFonts w:ascii="Arial" w:hAnsi="Arial" w:cs="Arial"/>
          <w:sz w:val="24"/>
          <w:szCs w:val="24"/>
        </w:rPr>
        <w:t>The master Plan is a live document and has evolved to take account of developments with the National Elective Centres programme as well as projected local and regional requirements</w:t>
      </w:r>
      <w:r>
        <w:rPr>
          <w:rFonts w:ascii="Arial" w:hAnsi="Arial" w:cs="Arial"/>
          <w:sz w:val="24"/>
          <w:szCs w:val="24"/>
        </w:rPr>
        <w:t>.</w:t>
      </w:r>
    </w:p>
    <w:p w:rsidR="00AB01FA" w:rsidRDefault="00AB01FA" w:rsidP="00AB01FA">
      <w:pPr>
        <w:pStyle w:val="ListParagraph"/>
        <w:spacing w:after="0" w:line="240" w:lineRule="auto"/>
        <w:ind w:left="1080"/>
        <w:rPr>
          <w:rFonts w:ascii="Arial" w:hAnsi="Arial" w:cs="Arial"/>
          <w:sz w:val="24"/>
          <w:szCs w:val="24"/>
        </w:rPr>
      </w:pPr>
    </w:p>
    <w:p w:rsidR="00AB01FA" w:rsidRDefault="00AB01FA" w:rsidP="00AB01FA">
      <w:pPr>
        <w:pStyle w:val="ListParagraph"/>
        <w:spacing w:after="0" w:line="240" w:lineRule="auto"/>
        <w:ind w:left="1080"/>
        <w:rPr>
          <w:rFonts w:ascii="Arial" w:hAnsi="Arial" w:cs="Arial"/>
          <w:sz w:val="24"/>
          <w:szCs w:val="24"/>
        </w:rPr>
      </w:pPr>
      <w:r>
        <w:rPr>
          <w:rFonts w:ascii="Arial" w:hAnsi="Arial" w:cs="Arial"/>
          <w:sz w:val="24"/>
          <w:szCs w:val="24"/>
        </w:rPr>
        <w:t>Key development changes include</w:t>
      </w:r>
      <w:r w:rsidR="001266C0">
        <w:rPr>
          <w:rFonts w:ascii="Arial" w:hAnsi="Arial" w:cs="Arial"/>
          <w:sz w:val="24"/>
          <w:szCs w:val="24"/>
        </w:rPr>
        <w:t>:</w:t>
      </w:r>
    </w:p>
    <w:p w:rsidR="00AB01FA" w:rsidRDefault="00AB01FA" w:rsidP="00AB01FA">
      <w:pPr>
        <w:pStyle w:val="ListParagraph"/>
        <w:spacing w:after="0" w:line="240" w:lineRule="auto"/>
        <w:ind w:left="1080"/>
        <w:rPr>
          <w:rFonts w:ascii="Arial" w:hAnsi="Arial" w:cs="Arial"/>
          <w:sz w:val="24"/>
          <w:szCs w:val="24"/>
        </w:rPr>
      </w:pPr>
    </w:p>
    <w:p w:rsidR="00AB01FA" w:rsidRPr="003C6ED5" w:rsidRDefault="00AB01FA" w:rsidP="003C6ED5">
      <w:pPr>
        <w:pStyle w:val="ListParagraph"/>
        <w:numPr>
          <w:ilvl w:val="0"/>
          <w:numId w:val="39"/>
        </w:numPr>
        <w:spacing w:after="0" w:line="240" w:lineRule="auto"/>
        <w:rPr>
          <w:rFonts w:ascii="Arial" w:hAnsi="Arial" w:cs="Arial"/>
          <w:sz w:val="24"/>
          <w:szCs w:val="24"/>
        </w:rPr>
      </w:pPr>
      <w:r w:rsidRPr="003C6ED5">
        <w:rPr>
          <w:rFonts w:ascii="Arial" w:hAnsi="Arial" w:cs="Arial"/>
          <w:sz w:val="24"/>
          <w:szCs w:val="24"/>
        </w:rPr>
        <w:t xml:space="preserve">The development of </w:t>
      </w:r>
      <w:r w:rsidR="00EB161A" w:rsidRPr="003C6ED5">
        <w:rPr>
          <w:rFonts w:ascii="Arial" w:hAnsi="Arial" w:cs="Arial"/>
          <w:sz w:val="24"/>
          <w:szCs w:val="24"/>
        </w:rPr>
        <w:t>a 2500 sqm O</w:t>
      </w:r>
      <w:r w:rsidRPr="003C6ED5">
        <w:rPr>
          <w:rFonts w:ascii="Arial" w:hAnsi="Arial" w:cs="Arial"/>
          <w:sz w:val="24"/>
          <w:szCs w:val="24"/>
        </w:rPr>
        <w:t xml:space="preserve">phthalmology facility </w:t>
      </w:r>
      <w:r w:rsidR="00EB161A" w:rsidRPr="003C6ED5">
        <w:rPr>
          <w:rFonts w:ascii="Arial" w:hAnsi="Arial" w:cs="Arial"/>
          <w:sz w:val="24"/>
          <w:szCs w:val="24"/>
        </w:rPr>
        <w:t>as</w:t>
      </w:r>
      <w:r w:rsidRPr="003C6ED5">
        <w:rPr>
          <w:rFonts w:ascii="Arial" w:hAnsi="Arial" w:cs="Arial"/>
          <w:sz w:val="24"/>
          <w:szCs w:val="24"/>
        </w:rPr>
        <w:t xml:space="preserve"> the first phase of the Golden Jubilee Foundation</w:t>
      </w:r>
      <w:r w:rsidR="00EB161A" w:rsidRPr="003C6ED5">
        <w:rPr>
          <w:rFonts w:ascii="Arial" w:hAnsi="Arial" w:cs="Arial"/>
          <w:sz w:val="24"/>
          <w:szCs w:val="24"/>
        </w:rPr>
        <w:t>’</w:t>
      </w:r>
      <w:r w:rsidRPr="003C6ED5">
        <w:rPr>
          <w:rFonts w:ascii="Arial" w:hAnsi="Arial" w:cs="Arial"/>
          <w:sz w:val="24"/>
          <w:szCs w:val="24"/>
        </w:rPr>
        <w:t>s expansion programme.</w:t>
      </w:r>
      <w:r w:rsidR="003C6ED5" w:rsidRPr="003C6ED5">
        <w:rPr>
          <w:rFonts w:ascii="Arial" w:hAnsi="Arial" w:cs="Arial"/>
          <w:sz w:val="24"/>
          <w:szCs w:val="24"/>
        </w:rPr>
        <w:t xml:space="preserve"> </w:t>
      </w:r>
      <w:r w:rsidR="00C3175B" w:rsidRPr="003C6ED5">
        <w:rPr>
          <w:rFonts w:ascii="Arial" w:hAnsi="Arial" w:cs="Arial"/>
          <w:sz w:val="24"/>
          <w:szCs w:val="24"/>
        </w:rPr>
        <w:t>The facility has six operating</w:t>
      </w:r>
      <w:r w:rsidR="00A57591">
        <w:rPr>
          <w:rFonts w:ascii="Arial" w:hAnsi="Arial" w:cs="Arial"/>
          <w:sz w:val="24"/>
          <w:szCs w:val="24"/>
        </w:rPr>
        <w:t xml:space="preserve"> rooms, two more than</w:t>
      </w:r>
      <w:r w:rsidR="00C3175B" w:rsidRPr="003C6ED5">
        <w:rPr>
          <w:rFonts w:ascii="Arial" w:hAnsi="Arial" w:cs="Arial"/>
          <w:sz w:val="24"/>
          <w:szCs w:val="24"/>
        </w:rPr>
        <w:t xml:space="preserve"> originally </w:t>
      </w:r>
      <w:r w:rsidR="003C6ED5" w:rsidRPr="003C6ED5">
        <w:rPr>
          <w:rFonts w:ascii="Arial" w:hAnsi="Arial" w:cs="Arial"/>
          <w:sz w:val="24"/>
          <w:szCs w:val="24"/>
        </w:rPr>
        <w:t>envisaged</w:t>
      </w:r>
      <w:r w:rsidR="00C3175B" w:rsidRPr="003C6ED5">
        <w:rPr>
          <w:rFonts w:ascii="Arial" w:hAnsi="Arial" w:cs="Arial"/>
          <w:sz w:val="24"/>
          <w:szCs w:val="24"/>
        </w:rPr>
        <w:t>.</w:t>
      </w:r>
      <w:r w:rsidR="00A57591">
        <w:rPr>
          <w:rFonts w:ascii="Arial" w:hAnsi="Arial" w:cs="Arial"/>
          <w:sz w:val="24"/>
          <w:szCs w:val="24"/>
        </w:rPr>
        <w:t xml:space="preserve">  An outline business case is being submitted to SG in relation to this.</w:t>
      </w:r>
    </w:p>
    <w:p w:rsidR="00AB01FA" w:rsidRDefault="00AB01FA" w:rsidP="003C6ED5">
      <w:pPr>
        <w:pStyle w:val="ListParagraph"/>
        <w:spacing w:after="0" w:line="240" w:lineRule="auto"/>
        <w:ind w:left="1440"/>
        <w:rPr>
          <w:rFonts w:ascii="Arial" w:hAnsi="Arial" w:cs="Arial"/>
          <w:sz w:val="24"/>
          <w:szCs w:val="24"/>
        </w:rPr>
      </w:pPr>
    </w:p>
    <w:p w:rsidR="00AB01FA" w:rsidRDefault="00AB01FA" w:rsidP="003C6ED5">
      <w:pPr>
        <w:pStyle w:val="ListParagraph"/>
        <w:numPr>
          <w:ilvl w:val="0"/>
          <w:numId w:val="39"/>
        </w:numPr>
        <w:spacing w:after="0" w:line="240" w:lineRule="auto"/>
        <w:rPr>
          <w:rFonts w:ascii="Arial" w:hAnsi="Arial" w:cs="Arial"/>
          <w:sz w:val="24"/>
          <w:szCs w:val="24"/>
        </w:rPr>
      </w:pPr>
      <w:r>
        <w:rPr>
          <w:rFonts w:ascii="Arial" w:hAnsi="Arial" w:cs="Arial"/>
          <w:sz w:val="24"/>
          <w:szCs w:val="24"/>
        </w:rPr>
        <w:t>Work continues at I</w:t>
      </w:r>
      <w:r w:rsidR="001703D7">
        <w:rPr>
          <w:rFonts w:ascii="Arial" w:hAnsi="Arial" w:cs="Arial"/>
          <w:sz w:val="24"/>
          <w:szCs w:val="24"/>
        </w:rPr>
        <w:t xml:space="preserve">nitial </w:t>
      </w:r>
      <w:r>
        <w:rPr>
          <w:rFonts w:ascii="Arial" w:hAnsi="Arial" w:cs="Arial"/>
          <w:sz w:val="24"/>
          <w:szCs w:val="24"/>
        </w:rPr>
        <w:t>A</w:t>
      </w:r>
      <w:r w:rsidR="001703D7">
        <w:rPr>
          <w:rFonts w:ascii="Arial" w:hAnsi="Arial" w:cs="Arial"/>
          <w:sz w:val="24"/>
          <w:szCs w:val="24"/>
        </w:rPr>
        <w:t>greement (IA)</w:t>
      </w:r>
      <w:r>
        <w:rPr>
          <w:rFonts w:ascii="Arial" w:hAnsi="Arial" w:cs="Arial"/>
          <w:sz w:val="24"/>
          <w:szCs w:val="24"/>
        </w:rPr>
        <w:t xml:space="preserve"> stage to develop proposals for </w:t>
      </w:r>
      <w:r w:rsidR="00EB161A">
        <w:rPr>
          <w:rFonts w:ascii="Arial" w:hAnsi="Arial" w:cs="Arial"/>
          <w:sz w:val="24"/>
          <w:szCs w:val="24"/>
        </w:rPr>
        <w:t xml:space="preserve">the phase two expansion to provide an </w:t>
      </w:r>
      <w:r>
        <w:rPr>
          <w:rFonts w:ascii="Arial" w:hAnsi="Arial" w:cs="Arial"/>
          <w:sz w:val="24"/>
          <w:szCs w:val="24"/>
        </w:rPr>
        <w:t xml:space="preserve">increase in </w:t>
      </w:r>
      <w:r>
        <w:rPr>
          <w:rFonts w:ascii="Arial" w:hAnsi="Arial" w:cs="Arial"/>
          <w:sz w:val="24"/>
          <w:szCs w:val="24"/>
        </w:rPr>
        <w:lastRenderedPageBreak/>
        <w:t>orthopaedic surgery, general surgery and scopes</w:t>
      </w:r>
      <w:r w:rsidR="00EB161A">
        <w:rPr>
          <w:rFonts w:ascii="Arial" w:hAnsi="Arial" w:cs="Arial"/>
          <w:sz w:val="24"/>
          <w:szCs w:val="24"/>
        </w:rPr>
        <w:t>.</w:t>
      </w:r>
      <w:r w:rsidR="003C6ED5">
        <w:rPr>
          <w:rFonts w:ascii="Arial" w:hAnsi="Arial" w:cs="Arial"/>
          <w:sz w:val="24"/>
          <w:szCs w:val="24"/>
        </w:rPr>
        <w:t xml:space="preserve"> Again it is anticipated that a degree of change will be required to take account of development both nationally and locally</w:t>
      </w:r>
      <w:r w:rsidR="001703D7">
        <w:rPr>
          <w:rFonts w:ascii="Arial" w:hAnsi="Arial" w:cs="Arial"/>
          <w:sz w:val="24"/>
          <w:szCs w:val="24"/>
        </w:rPr>
        <w:t>.</w:t>
      </w:r>
    </w:p>
    <w:p w:rsidR="00AB01FA" w:rsidRDefault="00AB01FA" w:rsidP="003C6ED5">
      <w:pPr>
        <w:pStyle w:val="ListParagraph"/>
        <w:spacing w:after="0" w:line="240" w:lineRule="auto"/>
        <w:ind w:left="1440"/>
        <w:rPr>
          <w:rFonts w:ascii="Arial" w:hAnsi="Arial" w:cs="Arial"/>
          <w:sz w:val="24"/>
          <w:szCs w:val="24"/>
        </w:rPr>
      </w:pPr>
    </w:p>
    <w:p w:rsidR="00AB01FA" w:rsidRDefault="00EB161A" w:rsidP="003C6ED5">
      <w:pPr>
        <w:pStyle w:val="ListParagraph"/>
        <w:numPr>
          <w:ilvl w:val="0"/>
          <w:numId w:val="39"/>
        </w:numPr>
        <w:spacing w:after="0" w:line="240" w:lineRule="auto"/>
        <w:rPr>
          <w:rFonts w:ascii="Arial" w:hAnsi="Arial" w:cs="Arial"/>
          <w:sz w:val="24"/>
          <w:szCs w:val="24"/>
        </w:rPr>
      </w:pPr>
      <w:r>
        <w:rPr>
          <w:rFonts w:ascii="Arial" w:hAnsi="Arial" w:cs="Arial"/>
          <w:sz w:val="24"/>
          <w:szCs w:val="24"/>
        </w:rPr>
        <w:t xml:space="preserve">A need has been identified for a second </w:t>
      </w:r>
      <w:r w:rsidR="00AB01FA">
        <w:rPr>
          <w:rFonts w:ascii="Arial" w:hAnsi="Arial" w:cs="Arial"/>
          <w:sz w:val="24"/>
          <w:szCs w:val="24"/>
        </w:rPr>
        <w:t xml:space="preserve">CT </w:t>
      </w:r>
      <w:r>
        <w:rPr>
          <w:rFonts w:ascii="Arial" w:hAnsi="Arial" w:cs="Arial"/>
          <w:sz w:val="24"/>
          <w:szCs w:val="24"/>
        </w:rPr>
        <w:t xml:space="preserve">scanner. This requirement has prompted a wider review of our existing and proposed radiology facilities.  </w:t>
      </w:r>
    </w:p>
    <w:p w:rsidR="00495A47" w:rsidRPr="00495A47" w:rsidRDefault="00495A47" w:rsidP="00495A47">
      <w:pPr>
        <w:pStyle w:val="ListParagraph"/>
        <w:rPr>
          <w:rFonts w:ascii="Arial" w:hAnsi="Arial" w:cs="Arial"/>
          <w:sz w:val="24"/>
          <w:szCs w:val="24"/>
        </w:rPr>
      </w:pPr>
    </w:p>
    <w:p w:rsidR="00495A47" w:rsidRDefault="00495A47" w:rsidP="00A17B59">
      <w:pPr>
        <w:pStyle w:val="ListParagraph"/>
        <w:spacing w:after="0" w:line="240" w:lineRule="auto"/>
        <w:ind w:left="357"/>
        <w:rPr>
          <w:rFonts w:ascii="Arial" w:hAnsi="Arial" w:cs="Arial"/>
          <w:sz w:val="24"/>
          <w:szCs w:val="24"/>
        </w:rPr>
      </w:pPr>
      <w:r>
        <w:rPr>
          <w:rFonts w:ascii="Arial" w:hAnsi="Arial" w:cs="Arial"/>
          <w:sz w:val="24"/>
          <w:szCs w:val="24"/>
        </w:rPr>
        <w:t xml:space="preserve">Further work has commenced to map the timeline and develop priorities for change within the existing building footprint emerging as a result of expansion plans, using the </w:t>
      </w:r>
      <w:proofErr w:type="spellStart"/>
      <w:r>
        <w:rPr>
          <w:rFonts w:ascii="Arial" w:hAnsi="Arial" w:cs="Arial"/>
          <w:sz w:val="24"/>
          <w:szCs w:val="24"/>
        </w:rPr>
        <w:t>masterplan</w:t>
      </w:r>
      <w:proofErr w:type="spellEnd"/>
      <w:r>
        <w:rPr>
          <w:rFonts w:ascii="Arial" w:hAnsi="Arial" w:cs="Arial"/>
          <w:sz w:val="24"/>
          <w:szCs w:val="24"/>
        </w:rPr>
        <w:t xml:space="preserve"> as the main guidance document.</w:t>
      </w:r>
    </w:p>
    <w:p w:rsidR="009E7671" w:rsidRPr="009E7671" w:rsidRDefault="009E7671" w:rsidP="009E7671">
      <w:pPr>
        <w:rPr>
          <w:rFonts w:ascii="Arial" w:hAnsi="Arial" w:cs="Arial"/>
          <w:b/>
        </w:rPr>
      </w:pPr>
    </w:p>
    <w:p w:rsidR="009E7671" w:rsidRPr="009E7671" w:rsidRDefault="009E7671" w:rsidP="009E7671">
      <w:pPr>
        <w:pStyle w:val="ListParagraph"/>
        <w:numPr>
          <w:ilvl w:val="0"/>
          <w:numId w:val="40"/>
        </w:numPr>
        <w:spacing w:after="0" w:line="240" w:lineRule="auto"/>
        <w:ind w:left="357" w:hanging="357"/>
        <w:rPr>
          <w:rFonts w:ascii="Arial" w:hAnsi="Arial" w:cs="Arial"/>
          <w:b/>
          <w:sz w:val="24"/>
          <w:szCs w:val="24"/>
        </w:rPr>
      </w:pPr>
      <w:r w:rsidRPr="009E7671">
        <w:rPr>
          <w:rFonts w:ascii="Arial" w:hAnsi="Arial" w:cs="Arial"/>
          <w:b/>
          <w:sz w:val="24"/>
          <w:szCs w:val="24"/>
        </w:rPr>
        <w:t xml:space="preserve">Asset Performance </w:t>
      </w:r>
    </w:p>
    <w:p w:rsidR="009E7671" w:rsidRPr="009E7671" w:rsidRDefault="009E7671" w:rsidP="009E7671">
      <w:pPr>
        <w:rPr>
          <w:rFonts w:ascii="Arial" w:hAnsi="Arial" w:cs="Arial"/>
          <w:b/>
        </w:rPr>
      </w:pPr>
    </w:p>
    <w:p w:rsidR="009E7671" w:rsidRDefault="009E7671" w:rsidP="009E7671">
      <w:pPr>
        <w:ind w:left="357"/>
        <w:rPr>
          <w:rFonts w:ascii="Arial" w:hAnsi="Arial" w:cs="Arial"/>
        </w:rPr>
      </w:pPr>
      <w:r w:rsidRPr="009E7671">
        <w:rPr>
          <w:rFonts w:ascii="Arial" w:hAnsi="Arial" w:cs="Arial"/>
        </w:rPr>
        <w:t>Our asset base continues to be in excellent condition with little change from the data submitted in the 2017/18 document.  The biggest challenge continues to be the planned replacement of our installed base of medical equipment and recognising the spike of investment required as assets purchased in 2008, as part of the Heart and Lung transfer, required replacement.</w:t>
      </w:r>
    </w:p>
    <w:p w:rsidR="009E7671" w:rsidRPr="009E7671" w:rsidRDefault="009E7671" w:rsidP="009E7671">
      <w:pPr>
        <w:rPr>
          <w:rFonts w:ascii="Arial" w:hAnsi="Arial" w:cs="Arial"/>
        </w:rPr>
      </w:pPr>
    </w:p>
    <w:tbl>
      <w:tblPr>
        <w:tblW w:w="8297" w:type="dxa"/>
        <w:jc w:val="center"/>
        <w:tblInd w:w="-14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4186"/>
        <w:gridCol w:w="1370"/>
        <w:gridCol w:w="1370"/>
        <w:gridCol w:w="1371"/>
      </w:tblGrid>
      <w:tr w:rsidR="009E7671" w:rsidRPr="009E7671" w:rsidTr="00F127C5">
        <w:trPr>
          <w:jc w:val="center"/>
        </w:trPr>
        <w:tc>
          <w:tcPr>
            <w:tcW w:w="4186" w:type="dxa"/>
            <w:shd w:val="clear" w:color="auto" w:fill="auto"/>
          </w:tcPr>
          <w:p w:rsidR="009E7671" w:rsidRPr="009E7671" w:rsidRDefault="009E7671" w:rsidP="00F127C5">
            <w:pPr>
              <w:pStyle w:val="Tableheading"/>
              <w:rPr>
                <w:color w:val="auto"/>
                <w:sz w:val="24"/>
              </w:rPr>
            </w:pPr>
            <w:r w:rsidRPr="009E7671">
              <w:rPr>
                <w:color w:val="auto"/>
                <w:sz w:val="24"/>
              </w:rPr>
              <w:t>Current Net Book Asset Value (all assets)</w:t>
            </w:r>
          </w:p>
        </w:tc>
        <w:tc>
          <w:tcPr>
            <w:tcW w:w="4111" w:type="dxa"/>
            <w:gridSpan w:val="3"/>
            <w:shd w:val="clear" w:color="auto" w:fill="auto"/>
            <w:vAlign w:val="center"/>
          </w:tcPr>
          <w:p w:rsidR="009E7671" w:rsidRPr="009E7671" w:rsidRDefault="009E7671" w:rsidP="00F127C5">
            <w:pPr>
              <w:pStyle w:val="Tableheading"/>
              <w:rPr>
                <w:color w:val="auto"/>
                <w:sz w:val="24"/>
              </w:rPr>
            </w:pPr>
            <w:r w:rsidRPr="009E7671">
              <w:rPr>
                <w:color w:val="auto"/>
                <w:sz w:val="24"/>
              </w:rPr>
              <w:t xml:space="preserve">2018 </w:t>
            </w:r>
          </w:p>
        </w:tc>
      </w:tr>
      <w:tr w:rsidR="009E7671" w:rsidRPr="009E7671" w:rsidTr="00F127C5">
        <w:trPr>
          <w:jc w:val="center"/>
        </w:trPr>
        <w:tc>
          <w:tcPr>
            <w:tcW w:w="4186" w:type="dxa"/>
            <w:shd w:val="clear" w:color="auto" w:fill="auto"/>
            <w:vAlign w:val="center"/>
          </w:tcPr>
          <w:p w:rsidR="009E7671" w:rsidRPr="009E7671" w:rsidRDefault="009E7671" w:rsidP="00F127C5">
            <w:pPr>
              <w:pStyle w:val="Tabletext"/>
              <w:jc w:val="center"/>
              <w:rPr>
                <w:b/>
                <w:sz w:val="24"/>
                <w:szCs w:val="24"/>
              </w:rPr>
            </w:pPr>
            <w:r w:rsidRPr="009E7671">
              <w:rPr>
                <w:sz w:val="24"/>
                <w:szCs w:val="24"/>
              </w:rPr>
              <w:t>Property</w:t>
            </w:r>
          </w:p>
        </w:tc>
        <w:tc>
          <w:tcPr>
            <w:tcW w:w="4111" w:type="dxa"/>
            <w:gridSpan w:val="3"/>
            <w:shd w:val="clear" w:color="auto" w:fill="auto"/>
            <w:vAlign w:val="center"/>
          </w:tcPr>
          <w:p w:rsidR="009E7671" w:rsidRPr="009E7671" w:rsidRDefault="009E7671" w:rsidP="00F127C5">
            <w:pPr>
              <w:pStyle w:val="Tabletext"/>
              <w:jc w:val="center"/>
              <w:rPr>
                <w:sz w:val="24"/>
                <w:szCs w:val="24"/>
              </w:rPr>
            </w:pPr>
            <w:r w:rsidRPr="009E7671">
              <w:rPr>
                <w:sz w:val="24"/>
                <w:szCs w:val="24"/>
              </w:rPr>
              <w:t>£113,392,000</w:t>
            </w:r>
          </w:p>
        </w:tc>
      </w:tr>
      <w:tr w:rsidR="009E7671" w:rsidRPr="009E7671" w:rsidTr="00F127C5">
        <w:trPr>
          <w:jc w:val="center"/>
        </w:trPr>
        <w:tc>
          <w:tcPr>
            <w:tcW w:w="4186" w:type="dxa"/>
            <w:shd w:val="clear" w:color="auto" w:fill="auto"/>
            <w:vAlign w:val="center"/>
          </w:tcPr>
          <w:p w:rsidR="009E7671" w:rsidRPr="009E7671" w:rsidRDefault="009E7671" w:rsidP="00F127C5">
            <w:pPr>
              <w:pStyle w:val="Tabletext"/>
              <w:jc w:val="center"/>
              <w:rPr>
                <w:b/>
                <w:sz w:val="24"/>
                <w:szCs w:val="24"/>
              </w:rPr>
            </w:pPr>
            <w:r w:rsidRPr="009E7671">
              <w:rPr>
                <w:sz w:val="24"/>
                <w:szCs w:val="24"/>
              </w:rPr>
              <w:t>Other</w:t>
            </w:r>
          </w:p>
        </w:tc>
        <w:tc>
          <w:tcPr>
            <w:tcW w:w="4111" w:type="dxa"/>
            <w:gridSpan w:val="3"/>
            <w:shd w:val="clear" w:color="auto" w:fill="auto"/>
            <w:vAlign w:val="center"/>
          </w:tcPr>
          <w:p w:rsidR="009E7671" w:rsidRPr="009E7671" w:rsidRDefault="009E7671" w:rsidP="00F127C5">
            <w:pPr>
              <w:pStyle w:val="Tabletext"/>
              <w:jc w:val="center"/>
              <w:rPr>
                <w:sz w:val="24"/>
                <w:szCs w:val="24"/>
              </w:rPr>
            </w:pPr>
            <w:r w:rsidRPr="009E7671">
              <w:rPr>
                <w:sz w:val="24"/>
                <w:szCs w:val="24"/>
              </w:rPr>
              <w:t>£24,165,000</w:t>
            </w:r>
          </w:p>
        </w:tc>
      </w:tr>
      <w:tr w:rsidR="009E7671" w:rsidRPr="009E7671" w:rsidTr="00F127C5">
        <w:trPr>
          <w:jc w:val="center"/>
        </w:trPr>
        <w:tc>
          <w:tcPr>
            <w:tcW w:w="4186" w:type="dxa"/>
            <w:shd w:val="clear" w:color="auto" w:fill="auto"/>
            <w:vAlign w:val="center"/>
          </w:tcPr>
          <w:p w:rsidR="009E7671" w:rsidRPr="009E7671" w:rsidRDefault="009E7671" w:rsidP="00F127C5">
            <w:pPr>
              <w:pStyle w:val="Tabletext"/>
              <w:jc w:val="center"/>
              <w:rPr>
                <w:b/>
                <w:sz w:val="24"/>
                <w:szCs w:val="24"/>
              </w:rPr>
            </w:pPr>
            <w:r w:rsidRPr="009E7671">
              <w:rPr>
                <w:sz w:val="24"/>
                <w:szCs w:val="24"/>
              </w:rPr>
              <w:t>Total</w:t>
            </w:r>
          </w:p>
        </w:tc>
        <w:tc>
          <w:tcPr>
            <w:tcW w:w="4111" w:type="dxa"/>
            <w:gridSpan w:val="3"/>
            <w:shd w:val="clear" w:color="auto" w:fill="auto"/>
            <w:vAlign w:val="center"/>
          </w:tcPr>
          <w:p w:rsidR="009E7671" w:rsidRPr="009E7671" w:rsidRDefault="009E7671" w:rsidP="00F127C5">
            <w:pPr>
              <w:pStyle w:val="Tabletext"/>
              <w:jc w:val="center"/>
              <w:rPr>
                <w:sz w:val="24"/>
                <w:szCs w:val="24"/>
              </w:rPr>
            </w:pPr>
            <w:r w:rsidRPr="009E7671">
              <w:rPr>
                <w:sz w:val="24"/>
                <w:szCs w:val="24"/>
              </w:rPr>
              <w:t>£137,557,000</w:t>
            </w:r>
          </w:p>
        </w:tc>
      </w:tr>
      <w:tr w:rsidR="009E7671" w:rsidRPr="009E7671" w:rsidTr="00F127C5">
        <w:trPr>
          <w:jc w:val="center"/>
        </w:trPr>
        <w:tc>
          <w:tcPr>
            <w:tcW w:w="4186" w:type="dxa"/>
            <w:shd w:val="clear" w:color="auto" w:fill="auto"/>
          </w:tcPr>
          <w:p w:rsidR="009E7671" w:rsidRPr="009E7671" w:rsidRDefault="009E7671" w:rsidP="00F127C5">
            <w:pPr>
              <w:pStyle w:val="Tableheading"/>
              <w:rPr>
                <w:sz w:val="24"/>
              </w:rPr>
            </w:pPr>
          </w:p>
        </w:tc>
        <w:tc>
          <w:tcPr>
            <w:tcW w:w="1370" w:type="dxa"/>
            <w:shd w:val="clear" w:color="auto" w:fill="auto"/>
          </w:tcPr>
          <w:p w:rsidR="009E7671" w:rsidRPr="009E7671" w:rsidRDefault="009E7671" w:rsidP="00F127C5">
            <w:pPr>
              <w:pStyle w:val="Tableheading"/>
              <w:rPr>
                <w:sz w:val="24"/>
              </w:rPr>
            </w:pPr>
            <w:r w:rsidRPr="009E7671">
              <w:rPr>
                <w:sz w:val="24"/>
              </w:rPr>
              <w:t>Previous</w:t>
            </w:r>
          </w:p>
        </w:tc>
        <w:tc>
          <w:tcPr>
            <w:tcW w:w="1370" w:type="dxa"/>
            <w:shd w:val="clear" w:color="auto" w:fill="auto"/>
          </w:tcPr>
          <w:p w:rsidR="009E7671" w:rsidRPr="009E7671" w:rsidRDefault="009E7671" w:rsidP="00F127C5">
            <w:pPr>
              <w:pStyle w:val="Tableheading"/>
              <w:rPr>
                <w:sz w:val="24"/>
              </w:rPr>
            </w:pPr>
            <w:r w:rsidRPr="009E7671">
              <w:rPr>
                <w:sz w:val="24"/>
              </w:rPr>
              <w:t>Current</w:t>
            </w:r>
          </w:p>
        </w:tc>
        <w:tc>
          <w:tcPr>
            <w:tcW w:w="1371" w:type="dxa"/>
            <w:shd w:val="clear" w:color="auto" w:fill="auto"/>
          </w:tcPr>
          <w:p w:rsidR="009E7671" w:rsidRPr="009E7671" w:rsidRDefault="009E7671" w:rsidP="00F127C5">
            <w:pPr>
              <w:pStyle w:val="Tableheading"/>
              <w:rPr>
                <w:sz w:val="24"/>
              </w:rPr>
            </w:pPr>
            <w:r w:rsidRPr="009E7671">
              <w:rPr>
                <w:sz w:val="24"/>
              </w:rPr>
              <w:t>Target</w:t>
            </w:r>
          </w:p>
        </w:tc>
      </w:tr>
      <w:tr w:rsidR="009E7671" w:rsidRPr="009E7671" w:rsidTr="00F127C5">
        <w:trPr>
          <w:jc w:val="center"/>
        </w:trPr>
        <w:tc>
          <w:tcPr>
            <w:tcW w:w="4186" w:type="dxa"/>
            <w:shd w:val="clear" w:color="auto" w:fill="auto"/>
          </w:tcPr>
          <w:p w:rsidR="009E7671" w:rsidRPr="009E7671" w:rsidRDefault="009E7671" w:rsidP="00F127C5">
            <w:pPr>
              <w:pStyle w:val="Tabletext"/>
              <w:rPr>
                <w:b/>
                <w:sz w:val="24"/>
                <w:szCs w:val="24"/>
              </w:rPr>
            </w:pPr>
            <w:r w:rsidRPr="009E7671">
              <w:rPr>
                <w:sz w:val="24"/>
                <w:szCs w:val="24"/>
              </w:rPr>
              <w:t xml:space="preserve">Floor Area (‘000’s </w:t>
            </w:r>
            <w:proofErr w:type="spellStart"/>
            <w:r w:rsidRPr="009E7671">
              <w:rPr>
                <w:sz w:val="24"/>
                <w:szCs w:val="24"/>
              </w:rPr>
              <w:t>sq.m</w:t>
            </w:r>
            <w:proofErr w:type="spellEnd"/>
            <w:r w:rsidRPr="009E7671">
              <w:rPr>
                <w:sz w:val="24"/>
                <w:szCs w:val="24"/>
              </w:rPr>
              <w:t>)</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59,217</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59,217</w:t>
            </w:r>
          </w:p>
        </w:tc>
        <w:tc>
          <w:tcPr>
            <w:tcW w:w="1371"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69,000</w:t>
            </w:r>
          </w:p>
        </w:tc>
      </w:tr>
      <w:tr w:rsidR="009E7671" w:rsidRPr="009E7671" w:rsidTr="00F127C5">
        <w:trPr>
          <w:jc w:val="center"/>
        </w:trPr>
        <w:tc>
          <w:tcPr>
            <w:tcW w:w="4186" w:type="dxa"/>
            <w:shd w:val="clear" w:color="auto" w:fill="auto"/>
          </w:tcPr>
          <w:p w:rsidR="009E7671" w:rsidRPr="009E7671" w:rsidRDefault="009E7671" w:rsidP="00F127C5">
            <w:pPr>
              <w:pStyle w:val="Tabletext"/>
              <w:rPr>
                <w:b/>
                <w:sz w:val="24"/>
                <w:szCs w:val="24"/>
              </w:rPr>
            </w:pPr>
            <w:r w:rsidRPr="009E7671">
              <w:rPr>
                <w:sz w:val="24"/>
                <w:szCs w:val="24"/>
              </w:rPr>
              <w:t>Age (% less than 50 years old)</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100%</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100%</w:t>
            </w:r>
          </w:p>
        </w:tc>
        <w:tc>
          <w:tcPr>
            <w:tcW w:w="1371"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100%</w:t>
            </w:r>
          </w:p>
        </w:tc>
      </w:tr>
      <w:tr w:rsidR="009E7671" w:rsidRPr="009E7671" w:rsidTr="00F127C5">
        <w:trPr>
          <w:jc w:val="center"/>
        </w:trPr>
        <w:tc>
          <w:tcPr>
            <w:tcW w:w="4186" w:type="dxa"/>
            <w:shd w:val="clear" w:color="auto" w:fill="auto"/>
          </w:tcPr>
          <w:p w:rsidR="009E7671" w:rsidRPr="009E7671" w:rsidRDefault="009E7671" w:rsidP="00F127C5">
            <w:pPr>
              <w:pStyle w:val="Tabletext"/>
              <w:rPr>
                <w:b/>
                <w:sz w:val="24"/>
                <w:szCs w:val="24"/>
              </w:rPr>
            </w:pPr>
            <w:r w:rsidRPr="009E7671">
              <w:rPr>
                <w:sz w:val="24"/>
                <w:szCs w:val="24"/>
              </w:rPr>
              <w:t>Condition (Good – category A or B)</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95%</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95%</w:t>
            </w:r>
          </w:p>
        </w:tc>
        <w:tc>
          <w:tcPr>
            <w:tcW w:w="1371"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97%</w:t>
            </w:r>
          </w:p>
        </w:tc>
      </w:tr>
      <w:tr w:rsidR="009E7671" w:rsidRPr="009E7671" w:rsidTr="00F127C5">
        <w:trPr>
          <w:jc w:val="center"/>
        </w:trPr>
        <w:tc>
          <w:tcPr>
            <w:tcW w:w="4186" w:type="dxa"/>
            <w:shd w:val="clear" w:color="auto" w:fill="auto"/>
          </w:tcPr>
          <w:p w:rsidR="009E7671" w:rsidRPr="009E7671" w:rsidRDefault="009E7671" w:rsidP="00F127C5">
            <w:pPr>
              <w:pStyle w:val="Tabletext"/>
              <w:rPr>
                <w:b/>
                <w:sz w:val="24"/>
                <w:szCs w:val="24"/>
              </w:rPr>
            </w:pPr>
            <w:r w:rsidRPr="009E7671">
              <w:rPr>
                <w:sz w:val="24"/>
                <w:szCs w:val="24"/>
              </w:rPr>
              <w:t>Estate Utilisation (Fully Utilised)</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100%</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100%</w:t>
            </w:r>
          </w:p>
        </w:tc>
        <w:tc>
          <w:tcPr>
            <w:tcW w:w="1371"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100%</w:t>
            </w:r>
          </w:p>
        </w:tc>
      </w:tr>
      <w:tr w:rsidR="009E7671" w:rsidRPr="009E7671" w:rsidTr="00F127C5">
        <w:trPr>
          <w:jc w:val="center"/>
        </w:trPr>
        <w:tc>
          <w:tcPr>
            <w:tcW w:w="4186" w:type="dxa"/>
            <w:shd w:val="clear" w:color="auto" w:fill="auto"/>
          </w:tcPr>
          <w:p w:rsidR="009E7671" w:rsidRPr="009E7671" w:rsidRDefault="009E7671" w:rsidP="00F127C5">
            <w:pPr>
              <w:pStyle w:val="Tabletext"/>
              <w:rPr>
                <w:b/>
                <w:sz w:val="24"/>
                <w:szCs w:val="24"/>
              </w:rPr>
            </w:pPr>
            <w:r w:rsidRPr="009E7671">
              <w:rPr>
                <w:sz w:val="24"/>
                <w:szCs w:val="24"/>
              </w:rPr>
              <w:t>Functional Suitability (Good – A or B)</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90%</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82%</w:t>
            </w:r>
            <w:r w:rsidR="003C6ED5">
              <w:rPr>
                <w:sz w:val="24"/>
                <w:szCs w:val="24"/>
              </w:rPr>
              <w:t>**</w:t>
            </w:r>
          </w:p>
        </w:tc>
        <w:tc>
          <w:tcPr>
            <w:tcW w:w="1371"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98%</w:t>
            </w:r>
          </w:p>
        </w:tc>
      </w:tr>
      <w:tr w:rsidR="009E7671" w:rsidRPr="009E7671" w:rsidTr="00F127C5">
        <w:trPr>
          <w:jc w:val="center"/>
        </w:trPr>
        <w:tc>
          <w:tcPr>
            <w:tcW w:w="4186" w:type="dxa"/>
            <w:shd w:val="clear" w:color="auto" w:fill="auto"/>
          </w:tcPr>
          <w:p w:rsidR="009E7671" w:rsidRPr="009E7671" w:rsidRDefault="009E7671" w:rsidP="00F127C5">
            <w:pPr>
              <w:pStyle w:val="Tabletext"/>
              <w:rPr>
                <w:b/>
                <w:sz w:val="24"/>
                <w:szCs w:val="24"/>
              </w:rPr>
            </w:pPr>
            <w:r w:rsidRPr="009E7671">
              <w:rPr>
                <w:sz w:val="24"/>
                <w:szCs w:val="24"/>
              </w:rPr>
              <w:t>Backlog Maintenance:</w:t>
            </w:r>
          </w:p>
        </w:tc>
        <w:tc>
          <w:tcPr>
            <w:tcW w:w="1370" w:type="dxa"/>
            <w:shd w:val="clear" w:color="auto" w:fill="auto"/>
            <w:vAlign w:val="center"/>
          </w:tcPr>
          <w:p w:rsidR="009E7671" w:rsidRPr="009E7671" w:rsidRDefault="009E7671" w:rsidP="00F127C5">
            <w:pPr>
              <w:pStyle w:val="Tabletext"/>
              <w:jc w:val="center"/>
              <w:rPr>
                <w:sz w:val="24"/>
                <w:szCs w:val="24"/>
              </w:rPr>
            </w:pPr>
          </w:p>
        </w:tc>
        <w:tc>
          <w:tcPr>
            <w:tcW w:w="1370" w:type="dxa"/>
            <w:shd w:val="clear" w:color="auto" w:fill="auto"/>
            <w:vAlign w:val="center"/>
          </w:tcPr>
          <w:p w:rsidR="009E7671" w:rsidRPr="009E7671" w:rsidRDefault="009E7671" w:rsidP="00F127C5">
            <w:pPr>
              <w:pStyle w:val="Tabletext"/>
              <w:jc w:val="center"/>
              <w:rPr>
                <w:sz w:val="24"/>
                <w:szCs w:val="24"/>
              </w:rPr>
            </w:pPr>
          </w:p>
        </w:tc>
        <w:tc>
          <w:tcPr>
            <w:tcW w:w="1371" w:type="dxa"/>
            <w:shd w:val="clear" w:color="auto" w:fill="auto"/>
            <w:vAlign w:val="center"/>
          </w:tcPr>
          <w:p w:rsidR="009E7671" w:rsidRPr="009E7671" w:rsidRDefault="009E7671" w:rsidP="00F127C5">
            <w:pPr>
              <w:pStyle w:val="Tabletext"/>
              <w:jc w:val="center"/>
              <w:rPr>
                <w:sz w:val="24"/>
                <w:szCs w:val="24"/>
              </w:rPr>
            </w:pPr>
          </w:p>
        </w:tc>
      </w:tr>
      <w:tr w:rsidR="009E7671" w:rsidRPr="009E7671" w:rsidTr="00F127C5">
        <w:trPr>
          <w:jc w:val="center"/>
        </w:trPr>
        <w:tc>
          <w:tcPr>
            <w:tcW w:w="4186" w:type="dxa"/>
            <w:shd w:val="clear" w:color="auto" w:fill="auto"/>
          </w:tcPr>
          <w:p w:rsidR="009E7671" w:rsidRPr="009E7671" w:rsidRDefault="009E7671" w:rsidP="00F127C5">
            <w:pPr>
              <w:pStyle w:val="Tabletext"/>
              <w:jc w:val="right"/>
              <w:rPr>
                <w:b/>
                <w:sz w:val="24"/>
                <w:szCs w:val="24"/>
              </w:rPr>
            </w:pPr>
            <w:r w:rsidRPr="009E7671">
              <w:rPr>
                <w:sz w:val="24"/>
                <w:szCs w:val="24"/>
              </w:rPr>
              <w:t>Including inflation uplift</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£703,000</w:t>
            </w:r>
          </w:p>
        </w:tc>
        <w:tc>
          <w:tcPr>
            <w:tcW w:w="1370"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£979,000</w:t>
            </w:r>
          </w:p>
        </w:tc>
        <w:tc>
          <w:tcPr>
            <w:tcW w:w="1371" w:type="dxa"/>
            <w:shd w:val="clear" w:color="auto" w:fill="auto"/>
            <w:vAlign w:val="center"/>
          </w:tcPr>
          <w:p w:rsidR="009E7671" w:rsidRPr="009E7671" w:rsidRDefault="009E7671" w:rsidP="00F127C5">
            <w:pPr>
              <w:pStyle w:val="Tabletext"/>
              <w:jc w:val="center"/>
              <w:rPr>
                <w:sz w:val="24"/>
                <w:szCs w:val="24"/>
              </w:rPr>
            </w:pPr>
            <w:r w:rsidRPr="009E7671">
              <w:rPr>
                <w:sz w:val="24"/>
                <w:szCs w:val="24"/>
              </w:rPr>
              <w:t>0</w:t>
            </w:r>
          </w:p>
        </w:tc>
      </w:tr>
    </w:tbl>
    <w:p w:rsidR="009E7671" w:rsidRDefault="009E7671" w:rsidP="009E7671">
      <w:pPr>
        <w:rPr>
          <w:rFonts w:ascii="Arial" w:hAnsi="Arial" w:cs="Arial"/>
        </w:rPr>
      </w:pPr>
    </w:p>
    <w:p w:rsidR="003C6ED5" w:rsidRDefault="003C6ED5" w:rsidP="00A57591">
      <w:pPr>
        <w:ind w:left="357"/>
        <w:rPr>
          <w:rFonts w:ascii="Arial" w:hAnsi="Arial" w:cs="Arial"/>
        </w:rPr>
      </w:pPr>
      <w:r>
        <w:rPr>
          <w:rFonts w:ascii="Arial" w:hAnsi="Arial" w:cs="Arial"/>
        </w:rPr>
        <w:t>** Reduction in functional suitability is the result of increased occupation of patient bedrooms by office staff</w:t>
      </w:r>
    </w:p>
    <w:p w:rsidR="00FC032B" w:rsidRDefault="00FC032B" w:rsidP="00A57591">
      <w:pPr>
        <w:ind w:left="357"/>
        <w:rPr>
          <w:rFonts w:ascii="Arial" w:hAnsi="Arial" w:cs="Arial"/>
        </w:rPr>
      </w:pPr>
    </w:p>
    <w:p w:rsidR="00FC032B" w:rsidRPr="00FC032B" w:rsidRDefault="00FC032B" w:rsidP="00A57591">
      <w:pPr>
        <w:ind w:left="357"/>
        <w:rPr>
          <w:rFonts w:ascii="Arial" w:hAnsi="Arial" w:cs="Arial"/>
          <w:u w:val="single"/>
        </w:rPr>
      </w:pPr>
      <w:r>
        <w:rPr>
          <w:rFonts w:ascii="Arial" w:hAnsi="Arial" w:cs="Arial"/>
          <w:u w:val="single"/>
        </w:rPr>
        <w:t>IMT equip</w:t>
      </w:r>
      <w:r w:rsidRPr="00FC032B">
        <w:rPr>
          <w:rFonts w:ascii="Arial" w:hAnsi="Arial" w:cs="Arial"/>
          <w:u w:val="single"/>
        </w:rPr>
        <w:t>ment</w:t>
      </w:r>
    </w:p>
    <w:p w:rsidR="000E293C" w:rsidRDefault="000E293C" w:rsidP="000E293C">
      <w:pPr>
        <w:ind w:left="357"/>
        <w:rPr>
          <w:rFonts w:ascii="Arial" w:hAnsi="Arial" w:cs="Arial"/>
        </w:rPr>
      </w:pPr>
      <w:r>
        <w:rPr>
          <w:rFonts w:ascii="Arial" w:hAnsi="Arial" w:cs="Arial"/>
        </w:rPr>
        <w:t xml:space="preserve">The installed base for IMT equipment remains similar to prior years however a number of strategic projects are being undertaken which will impact </w:t>
      </w:r>
      <w:r w:rsidR="00DB6FC1">
        <w:rPr>
          <w:rFonts w:ascii="Arial" w:hAnsi="Arial" w:cs="Arial"/>
        </w:rPr>
        <w:t>on</w:t>
      </w:r>
      <w:r>
        <w:rPr>
          <w:rFonts w:ascii="Arial" w:hAnsi="Arial" w:cs="Arial"/>
        </w:rPr>
        <w:t xml:space="preserve"> the delivery of IMT within the board with these being identified below:</w:t>
      </w:r>
    </w:p>
    <w:p w:rsidR="000E293C" w:rsidRDefault="000E293C" w:rsidP="00275F07">
      <w:pPr>
        <w:ind w:firstLine="357"/>
        <w:rPr>
          <w:rFonts w:ascii="Arial" w:hAnsi="Arial" w:cs="Arial"/>
        </w:rPr>
      </w:pPr>
    </w:p>
    <w:p w:rsidR="000E293C" w:rsidRDefault="000E293C" w:rsidP="000E293C">
      <w:pPr>
        <w:pStyle w:val="ListParagraph"/>
        <w:numPr>
          <w:ilvl w:val="0"/>
          <w:numId w:val="45"/>
        </w:numPr>
        <w:rPr>
          <w:rFonts w:ascii="Arial" w:hAnsi="Arial" w:cs="Arial"/>
        </w:rPr>
      </w:pPr>
      <w:r>
        <w:rPr>
          <w:rFonts w:ascii="Arial" w:hAnsi="Arial" w:cs="Arial"/>
        </w:rPr>
        <w:lastRenderedPageBreak/>
        <w:t>Introduction of Electronic Patient Records</w:t>
      </w:r>
    </w:p>
    <w:p w:rsidR="000E293C" w:rsidRDefault="000E293C" w:rsidP="000E293C">
      <w:pPr>
        <w:pStyle w:val="ListParagraph"/>
        <w:numPr>
          <w:ilvl w:val="0"/>
          <w:numId w:val="45"/>
        </w:numPr>
        <w:rPr>
          <w:rFonts w:ascii="Arial" w:hAnsi="Arial" w:cs="Arial"/>
        </w:rPr>
      </w:pPr>
      <w:r>
        <w:rPr>
          <w:rFonts w:ascii="Arial" w:hAnsi="Arial" w:cs="Arial"/>
        </w:rPr>
        <w:t>GDPR</w:t>
      </w:r>
    </w:p>
    <w:p w:rsidR="000E293C" w:rsidRDefault="000E293C" w:rsidP="000E293C">
      <w:pPr>
        <w:pStyle w:val="ListParagraph"/>
        <w:numPr>
          <w:ilvl w:val="0"/>
          <w:numId w:val="45"/>
        </w:numPr>
        <w:rPr>
          <w:rFonts w:ascii="Arial" w:hAnsi="Arial" w:cs="Arial"/>
        </w:rPr>
      </w:pPr>
      <w:r>
        <w:rPr>
          <w:rFonts w:ascii="Arial" w:hAnsi="Arial" w:cs="Arial"/>
        </w:rPr>
        <w:t>Document scanning</w:t>
      </w:r>
    </w:p>
    <w:p w:rsidR="000E293C" w:rsidRDefault="000E293C" w:rsidP="000E293C">
      <w:pPr>
        <w:pStyle w:val="ListParagraph"/>
        <w:numPr>
          <w:ilvl w:val="0"/>
          <w:numId w:val="45"/>
        </w:numPr>
        <w:rPr>
          <w:rFonts w:ascii="Arial" w:hAnsi="Arial" w:cs="Arial"/>
        </w:rPr>
      </w:pPr>
      <w:r>
        <w:rPr>
          <w:rFonts w:ascii="Arial" w:hAnsi="Arial" w:cs="Arial"/>
        </w:rPr>
        <w:t>Electronic (Digital) notes</w:t>
      </w:r>
    </w:p>
    <w:p w:rsidR="000E293C" w:rsidRDefault="000E293C" w:rsidP="000E293C">
      <w:pPr>
        <w:pStyle w:val="ListParagraph"/>
        <w:numPr>
          <w:ilvl w:val="0"/>
          <w:numId w:val="45"/>
        </w:numPr>
        <w:rPr>
          <w:rFonts w:ascii="Arial" w:hAnsi="Arial" w:cs="Arial"/>
        </w:rPr>
      </w:pPr>
      <w:r>
        <w:rPr>
          <w:rFonts w:ascii="Arial" w:hAnsi="Arial" w:cs="Arial"/>
        </w:rPr>
        <w:t>Self Check in being looked at in the expansion programme</w:t>
      </w:r>
    </w:p>
    <w:p w:rsidR="000E293C" w:rsidRDefault="000E293C" w:rsidP="000E293C">
      <w:pPr>
        <w:ind w:firstLine="357"/>
        <w:rPr>
          <w:rFonts w:ascii="Arial" w:hAnsi="Arial" w:cs="Arial"/>
          <w:u w:val="single"/>
        </w:rPr>
      </w:pPr>
      <w:r w:rsidRPr="000E293C">
        <w:rPr>
          <w:rFonts w:ascii="Arial" w:hAnsi="Arial" w:cs="Arial"/>
          <w:u w:val="single"/>
        </w:rPr>
        <w:t>Medical Equipment</w:t>
      </w:r>
    </w:p>
    <w:p w:rsidR="000E293C" w:rsidRDefault="000E293C" w:rsidP="000E293C">
      <w:pPr>
        <w:ind w:left="357"/>
        <w:rPr>
          <w:rFonts w:ascii="Arial" w:hAnsi="Arial" w:cs="Arial"/>
        </w:rPr>
      </w:pPr>
      <w:r>
        <w:rPr>
          <w:rFonts w:ascii="Arial" w:hAnsi="Arial" w:cs="Arial"/>
        </w:rPr>
        <w:t>The Board has an established medical equipment group that informs capital group with regard to the procurement of all medical equipment, the key areas of focus for 2018/19 are noted below:</w:t>
      </w:r>
    </w:p>
    <w:p w:rsidR="000E293C" w:rsidRDefault="000E293C" w:rsidP="000E293C">
      <w:pPr>
        <w:ind w:firstLine="357"/>
        <w:rPr>
          <w:rFonts w:ascii="Arial" w:hAnsi="Arial" w:cs="Arial"/>
        </w:rPr>
      </w:pPr>
    </w:p>
    <w:p w:rsidR="000E293C" w:rsidRPr="000E293C" w:rsidRDefault="000E293C" w:rsidP="000E293C">
      <w:pPr>
        <w:pStyle w:val="ListParagraph"/>
        <w:numPr>
          <w:ilvl w:val="0"/>
          <w:numId w:val="46"/>
        </w:numPr>
        <w:rPr>
          <w:rFonts w:ascii="Arial" w:hAnsi="Arial" w:cs="Arial"/>
          <w:sz w:val="24"/>
        </w:rPr>
      </w:pPr>
      <w:r w:rsidRPr="000E293C">
        <w:rPr>
          <w:rFonts w:ascii="Arial" w:hAnsi="Arial" w:cs="Arial"/>
          <w:sz w:val="24"/>
        </w:rPr>
        <w:t>Replacement of existing MRI scanner;</w:t>
      </w:r>
    </w:p>
    <w:p w:rsidR="000E293C" w:rsidRPr="000E293C" w:rsidRDefault="000E293C" w:rsidP="000E293C">
      <w:pPr>
        <w:pStyle w:val="ListParagraph"/>
        <w:numPr>
          <w:ilvl w:val="0"/>
          <w:numId w:val="46"/>
        </w:numPr>
        <w:rPr>
          <w:rFonts w:ascii="Arial" w:hAnsi="Arial" w:cs="Arial"/>
          <w:sz w:val="24"/>
        </w:rPr>
      </w:pPr>
      <w:r w:rsidRPr="000E293C">
        <w:rPr>
          <w:rFonts w:ascii="Arial" w:hAnsi="Arial" w:cs="Arial"/>
          <w:sz w:val="24"/>
        </w:rPr>
        <w:t>Replacement of 3 cath lab;</w:t>
      </w:r>
    </w:p>
    <w:p w:rsidR="000E293C" w:rsidRPr="000E293C" w:rsidRDefault="000E293C" w:rsidP="000E293C">
      <w:pPr>
        <w:pStyle w:val="ListParagraph"/>
        <w:numPr>
          <w:ilvl w:val="0"/>
          <w:numId w:val="46"/>
        </w:numPr>
        <w:rPr>
          <w:rFonts w:ascii="Arial" w:hAnsi="Arial" w:cs="Arial"/>
          <w:sz w:val="24"/>
        </w:rPr>
      </w:pPr>
      <w:r w:rsidRPr="000E293C">
        <w:rPr>
          <w:rFonts w:ascii="Arial" w:hAnsi="Arial" w:cs="Arial"/>
          <w:sz w:val="24"/>
        </w:rPr>
        <w:t>Continue replacement of balloon pumps</w:t>
      </w:r>
    </w:p>
    <w:p w:rsidR="000E293C" w:rsidRDefault="000E293C" w:rsidP="000E293C">
      <w:pPr>
        <w:ind w:left="357"/>
        <w:rPr>
          <w:rFonts w:ascii="Arial" w:hAnsi="Arial" w:cs="Arial"/>
        </w:rPr>
      </w:pPr>
      <w:r>
        <w:rPr>
          <w:rFonts w:ascii="Arial" w:hAnsi="Arial" w:cs="Arial"/>
        </w:rPr>
        <w:t>In addition the Board is giv</w:t>
      </w:r>
      <w:r w:rsidR="001703D7">
        <w:rPr>
          <w:rFonts w:ascii="Arial" w:hAnsi="Arial" w:cs="Arial"/>
        </w:rPr>
        <w:t>ing</w:t>
      </w:r>
      <w:r>
        <w:rPr>
          <w:rFonts w:ascii="Arial" w:hAnsi="Arial" w:cs="Arial"/>
        </w:rPr>
        <w:t xml:space="preserve"> consideration to the installation of a second CT scanner </w:t>
      </w:r>
      <w:r w:rsidR="001266C0">
        <w:rPr>
          <w:rFonts w:ascii="Arial" w:hAnsi="Arial" w:cs="Arial"/>
        </w:rPr>
        <w:t xml:space="preserve">on the site </w:t>
      </w:r>
      <w:r>
        <w:rPr>
          <w:rFonts w:ascii="Arial" w:hAnsi="Arial" w:cs="Arial"/>
        </w:rPr>
        <w:t>and a case is being prepared for the procurement of an orthopaedic Robot.</w:t>
      </w:r>
    </w:p>
    <w:p w:rsidR="007D41B6" w:rsidRDefault="007D41B6" w:rsidP="000E293C">
      <w:pPr>
        <w:ind w:left="357"/>
        <w:rPr>
          <w:rFonts w:ascii="Arial" w:hAnsi="Arial" w:cs="Arial"/>
        </w:rPr>
      </w:pPr>
      <w:r>
        <w:rPr>
          <w:rFonts w:ascii="Arial" w:hAnsi="Arial" w:cs="Arial"/>
        </w:rPr>
        <w:t xml:space="preserve"> </w:t>
      </w:r>
    </w:p>
    <w:p w:rsidR="007D41B6" w:rsidRPr="000E293C" w:rsidRDefault="007D41B6" w:rsidP="000E293C">
      <w:pPr>
        <w:ind w:left="357"/>
        <w:rPr>
          <w:rFonts w:ascii="Arial" w:hAnsi="Arial" w:cs="Arial"/>
        </w:rPr>
      </w:pPr>
      <w:r>
        <w:rPr>
          <w:rFonts w:ascii="Arial" w:hAnsi="Arial" w:cs="Arial"/>
        </w:rPr>
        <w:t xml:space="preserve">The capital plans for all elements in the PAMS documents are </w:t>
      </w:r>
      <w:r w:rsidR="00DB6FC1">
        <w:rPr>
          <w:rFonts w:ascii="Arial" w:hAnsi="Arial" w:cs="Arial"/>
        </w:rPr>
        <w:t>considered</w:t>
      </w:r>
      <w:r>
        <w:rPr>
          <w:rFonts w:ascii="Arial" w:hAnsi="Arial" w:cs="Arial"/>
        </w:rPr>
        <w:t xml:space="preserve"> in the Board’s financial plan.</w:t>
      </w:r>
    </w:p>
    <w:p w:rsidR="00FC032B" w:rsidRDefault="00FC032B" w:rsidP="00275F07">
      <w:pPr>
        <w:ind w:firstLine="357"/>
        <w:rPr>
          <w:rFonts w:ascii="Arial" w:hAnsi="Arial" w:cs="Arial"/>
          <w:b/>
        </w:rPr>
      </w:pPr>
    </w:p>
    <w:p w:rsidR="00275F07" w:rsidRDefault="00275F07" w:rsidP="00275F07">
      <w:pPr>
        <w:ind w:firstLine="357"/>
        <w:rPr>
          <w:rFonts w:ascii="Arial" w:hAnsi="Arial" w:cs="Arial"/>
          <w:b/>
        </w:rPr>
      </w:pPr>
      <w:r w:rsidRPr="00275F07">
        <w:rPr>
          <w:rFonts w:ascii="Arial" w:hAnsi="Arial" w:cs="Arial"/>
          <w:b/>
        </w:rPr>
        <w:t>Asset Base Issues – Competing Priorities</w:t>
      </w:r>
    </w:p>
    <w:p w:rsidR="00275F07" w:rsidRDefault="00275F07" w:rsidP="00275F07">
      <w:pPr>
        <w:ind w:firstLine="357"/>
        <w:rPr>
          <w:rFonts w:ascii="Arial" w:hAnsi="Arial" w:cs="Arial"/>
          <w:b/>
        </w:rPr>
      </w:pPr>
    </w:p>
    <w:p w:rsidR="00275F07" w:rsidRDefault="00A57591" w:rsidP="00721877">
      <w:pPr>
        <w:ind w:left="357"/>
        <w:rPr>
          <w:rFonts w:ascii="Arial" w:hAnsi="Arial" w:cs="Arial"/>
        </w:rPr>
      </w:pPr>
      <w:r>
        <w:rPr>
          <w:rFonts w:ascii="Arial" w:hAnsi="Arial" w:cs="Arial"/>
        </w:rPr>
        <w:t>The summary of issues associated with the Asset Base within the Board are summarised in the diagrams below.</w:t>
      </w: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7D41B6" w:rsidRDefault="007D41B6" w:rsidP="00721877">
      <w:pPr>
        <w:ind w:left="357"/>
        <w:rPr>
          <w:rFonts w:ascii="Arial" w:hAnsi="Arial" w:cs="Arial"/>
          <w:b/>
        </w:rPr>
      </w:pPr>
    </w:p>
    <w:p w:rsidR="00513629" w:rsidRDefault="00513629" w:rsidP="00721877">
      <w:pPr>
        <w:ind w:left="357"/>
        <w:rPr>
          <w:rFonts w:ascii="Arial" w:hAnsi="Arial" w:cs="Arial"/>
          <w:b/>
        </w:rPr>
      </w:pPr>
    </w:p>
    <w:p w:rsidR="00513629" w:rsidRDefault="00513629" w:rsidP="00721877">
      <w:pPr>
        <w:ind w:left="357"/>
        <w:rPr>
          <w:rFonts w:ascii="Arial" w:hAnsi="Arial" w:cs="Arial"/>
          <w:b/>
        </w:rPr>
      </w:pPr>
    </w:p>
    <w:p w:rsidR="00513629" w:rsidRDefault="00513629" w:rsidP="00721877">
      <w:pPr>
        <w:ind w:left="357"/>
        <w:rPr>
          <w:rFonts w:ascii="Arial" w:hAnsi="Arial" w:cs="Arial"/>
          <w:b/>
        </w:rPr>
      </w:pPr>
    </w:p>
    <w:p w:rsidR="00513629" w:rsidRDefault="00513629" w:rsidP="00721877">
      <w:pPr>
        <w:ind w:left="357"/>
        <w:rPr>
          <w:rFonts w:ascii="Arial" w:hAnsi="Arial" w:cs="Arial"/>
          <w:b/>
        </w:rPr>
      </w:pPr>
    </w:p>
    <w:p w:rsidR="00513629" w:rsidRDefault="00513629" w:rsidP="00721877">
      <w:pPr>
        <w:ind w:left="357"/>
        <w:rPr>
          <w:rFonts w:ascii="Arial" w:hAnsi="Arial" w:cs="Arial"/>
          <w:b/>
        </w:rPr>
      </w:pPr>
    </w:p>
    <w:p w:rsidR="007D41B6" w:rsidRDefault="007D41B6" w:rsidP="00721877">
      <w:pPr>
        <w:ind w:left="357"/>
        <w:rPr>
          <w:rFonts w:ascii="Arial" w:hAnsi="Arial" w:cs="Arial"/>
          <w:b/>
        </w:rPr>
      </w:pPr>
    </w:p>
    <w:p w:rsidR="00721877" w:rsidRDefault="00721877" w:rsidP="00721877">
      <w:pPr>
        <w:ind w:left="357"/>
        <w:rPr>
          <w:rFonts w:ascii="Arial" w:hAnsi="Arial" w:cs="Arial"/>
          <w:b/>
        </w:rPr>
      </w:pPr>
      <w:r>
        <w:rPr>
          <w:rFonts w:ascii="Arial" w:hAnsi="Arial" w:cs="Arial"/>
          <w:b/>
        </w:rPr>
        <w:t>Medical Equipment Issues</w:t>
      </w:r>
    </w:p>
    <w:p w:rsidR="00721877" w:rsidRDefault="00721877" w:rsidP="00721877">
      <w:pPr>
        <w:ind w:left="357"/>
        <w:rPr>
          <w:rFonts w:ascii="Arial" w:hAnsi="Arial" w:cs="Arial"/>
          <w:b/>
        </w:rPr>
      </w:pPr>
    </w:p>
    <w:p w:rsidR="00721877" w:rsidRPr="00721877" w:rsidRDefault="00721877" w:rsidP="00721877">
      <w:pPr>
        <w:ind w:left="357"/>
        <w:rPr>
          <w:rFonts w:ascii="Arial" w:hAnsi="Arial" w:cs="Arial"/>
          <w:b/>
        </w:rPr>
      </w:pPr>
      <w:r>
        <w:rPr>
          <w:rFonts w:ascii="Arial" w:hAnsi="Arial" w:cs="Arial"/>
          <w:noProof/>
          <w:lang w:eastAsia="en-GB"/>
        </w:rPr>
        <w:drawing>
          <wp:inline distT="0" distB="0" distL="0" distR="0">
            <wp:extent cx="5274310" cy="4649817"/>
            <wp:effectExtent l="0" t="0" r="0"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275F07" w:rsidRPr="009E7671" w:rsidRDefault="00275F07" w:rsidP="009E7671">
      <w:pPr>
        <w:rPr>
          <w:rFonts w:ascii="Arial" w:hAnsi="Arial" w:cs="Arial"/>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p>
    <w:p w:rsidR="00721877" w:rsidRDefault="00721877" w:rsidP="00721877">
      <w:pPr>
        <w:ind w:left="357"/>
        <w:rPr>
          <w:rFonts w:ascii="Arial" w:hAnsi="Arial" w:cs="Arial"/>
          <w:b/>
        </w:rPr>
      </w:pPr>
      <w:r>
        <w:rPr>
          <w:rFonts w:ascii="Arial" w:hAnsi="Arial" w:cs="Arial"/>
          <w:b/>
        </w:rPr>
        <w:t>Land and Building Issues</w:t>
      </w:r>
    </w:p>
    <w:p w:rsidR="00721877" w:rsidRDefault="00721877" w:rsidP="00721877">
      <w:pPr>
        <w:ind w:left="357"/>
        <w:rPr>
          <w:rFonts w:ascii="Arial" w:hAnsi="Arial" w:cs="Arial"/>
          <w:b/>
        </w:rPr>
      </w:pPr>
    </w:p>
    <w:p w:rsidR="00721877" w:rsidRPr="00721877" w:rsidRDefault="00721877" w:rsidP="00721877">
      <w:pPr>
        <w:ind w:left="357"/>
        <w:rPr>
          <w:rFonts w:ascii="Arial" w:hAnsi="Arial" w:cs="Arial"/>
          <w:b/>
        </w:rPr>
      </w:pPr>
      <w:r>
        <w:rPr>
          <w:rFonts w:ascii="Arial" w:hAnsi="Arial" w:cs="Arial"/>
          <w:noProof/>
          <w:lang w:eastAsia="en-GB"/>
        </w:rPr>
        <w:drawing>
          <wp:inline distT="0" distB="0" distL="0" distR="0">
            <wp:extent cx="5274310" cy="5274310"/>
            <wp:effectExtent l="19050" t="0" r="21590" b="254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21877" w:rsidRDefault="00721877" w:rsidP="00721877">
      <w:pPr>
        <w:ind w:left="357"/>
        <w:rPr>
          <w:rFonts w:ascii="Arial" w:hAnsi="Arial" w:cs="Arial"/>
          <w:b/>
        </w:rPr>
      </w:pPr>
    </w:p>
    <w:p w:rsidR="00721877" w:rsidRPr="00721877" w:rsidRDefault="00721877" w:rsidP="00721877">
      <w:pPr>
        <w:ind w:left="357"/>
        <w:rPr>
          <w:rFonts w:ascii="Arial" w:hAnsi="Arial" w:cs="Arial"/>
        </w:rPr>
      </w:pPr>
      <w:r w:rsidRPr="00721877">
        <w:rPr>
          <w:rFonts w:ascii="Arial" w:hAnsi="Arial" w:cs="Arial"/>
        </w:rPr>
        <w:t>These issues were discussed in detail in the full PAMS and work continues with regard to these areas.</w:t>
      </w:r>
    </w:p>
    <w:p w:rsidR="00721877" w:rsidRPr="00721877" w:rsidRDefault="00721877" w:rsidP="00721877">
      <w:pPr>
        <w:rPr>
          <w:rFonts w:ascii="Arial" w:hAnsi="Arial" w:cs="Arial"/>
          <w:b/>
        </w:rPr>
      </w:pPr>
    </w:p>
    <w:p w:rsidR="009E7671" w:rsidRPr="009E7671" w:rsidRDefault="009E7671" w:rsidP="009E7671">
      <w:pPr>
        <w:pStyle w:val="ListParagraph"/>
        <w:numPr>
          <w:ilvl w:val="0"/>
          <w:numId w:val="40"/>
        </w:numPr>
        <w:spacing w:after="0" w:line="240" w:lineRule="auto"/>
        <w:ind w:left="357" w:hanging="357"/>
        <w:rPr>
          <w:rFonts w:ascii="Arial" w:hAnsi="Arial" w:cs="Arial"/>
          <w:b/>
          <w:sz w:val="24"/>
          <w:szCs w:val="24"/>
        </w:rPr>
      </w:pPr>
      <w:r w:rsidRPr="009E7671">
        <w:rPr>
          <w:rFonts w:ascii="Arial" w:hAnsi="Arial" w:cs="Arial"/>
          <w:b/>
          <w:sz w:val="24"/>
          <w:szCs w:val="24"/>
        </w:rPr>
        <w:t>Progress on projects highlighted in the 2017/18 strategy</w:t>
      </w:r>
    </w:p>
    <w:p w:rsidR="009E7671" w:rsidRPr="009E7671" w:rsidRDefault="009E7671" w:rsidP="009E7671">
      <w:pPr>
        <w:rPr>
          <w:rFonts w:ascii="Arial" w:hAnsi="Arial" w:cs="Arial"/>
        </w:rPr>
      </w:pPr>
    </w:p>
    <w:p w:rsidR="009E7671" w:rsidRPr="009E7671" w:rsidRDefault="009E7671" w:rsidP="009E7671">
      <w:pPr>
        <w:ind w:left="357"/>
        <w:rPr>
          <w:rFonts w:ascii="Arial" w:hAnsi="Arial" w:cs="Arial"/>
          <w:b/>
        </w:rPr>
      </w:pPr>
      <w:r w:rsidRPr="009E7671">
        <w:rPr>
          <w:rFonts w:ascii="Arial" w:hAnsi="Arial" w:cs="Arial"/>
          <w:b/>
        </w:rPr>
        <w:t>Water Source Heat Pump proposals</w:t>
      </w:r>
    </w:p>
    <w:p w:rsidR="009E7671" w:rsidRPr="009E7671" w:rsidRDefault="009E7671" w:rsidP="009E7671">
      <w:pPr>
        <w:rPr>
          <w:rFonts w:ascii="Arial" w:hAnsi="Arial" w:cs="Arial"/>
        </w:rPr>
      </w:pPr>
    </w:p>
    <w:p w:rsidR="009E7671" w:rsidRPr="009E7671" w:rsidRDefault="009E7671" w:rsidP="009E7671">
      <w:pPr>
        <w:ind w:left="357"/>
        <w:rPr>
          <w:rFonts w:ascii="Arial" w:hAnsi="Arial" w:cs="Arial"/>
        </w:rPr>
      </w:pPr>
      <w:r w:rsidRPr="009E7671">
        <w:rPr>
          <w:rFonts w:ascii="Arial" w:hAnsi="Arial" w:cs="Arial"/>
        </w:rPr>
        <w:t xml:space="preserve">In addition to the projects referenced in the strategic assessment above we also continue to progress with our Water Source Heat Pump project and have submitted a high level paper to Scottish Government Health Finance to potentially source central funding. Discussions are continuing in </w:t>
      </w:r>
      <w:r w:rsidRPr="009E7671">
        <w:rPr>
          <w:rFonts w:ascii="Arial" w:hAnsi="Arial" w:cs="Arial"/>
        </w:rPr>
        <w:lastRenderedPageBreak/>
        <w:t xml:space="preserve">this regard. Discussion also continues with West Dunbartonshire Council with regards to possible participation in their larger district heating system project. If approval is granted to progress with this we will develop a more detailed case in line with Scottish Capital Investment Manual (SCIM) Guidelines. </w:t>
      </w:r>
    </w:p>
    <w:p w:rsidR="009E7671" w:rsidRPr="009E7671" w:rsidRDefault="009E7671" w:rsidP="009E7671">
      <w:pPr>
        <w:ind w:left="357"/>
        <w:rPr>
          <w:rFonts w:ascii="Arial" w:hAnsi="Arial" w:cs="Arial"/>
        </w:rPr>
      </w:pPr>
    </w:p>
    <w:p w:rsidR="009E7671" w:rsidRPr="009E7671" w:rsidRDefault="009E7671" w:rsidP="009E7671">
      <w:pPr>
        <w:ind w:left="357"/>
        <w:rPr>
          <w:rFonts w:ascii="Arial" w:hAnsi="Arial" w:cs="Arial"/>
          <w:b/>
        </w:rPr>
      </w:pPr>
      <w:r w:rsidRPr="009E7671">
        <w:rPr>
          <w:rFonts w:ascii="Arial" w:hAnsi="Arial" w:cs="Arial"/>
          <w:b/>
        </w:rPr>
        <w:t>Hotel Bedroom Upgrades</w:t>
      </w:r>
    </w:p>
    <w:p w:rsidR="009E7671" w:rsidRPr="009E7671" w:rsidRDefault="009E7671" w:rsidP="009E7671">
      <w:pPr>
        <w:ind w:left="357"/>
        <w:rPr>
          <w:rFonts w:ascii="Arial" w:hAnsi="Arial" w:cs="Arial"/>
        </w:rPr>
      </w:pPr>
    </w:p>
    <w:p w:rsidR="009E7671" w:rsidRPr="009E7671" w:rsidRDefault="009E7671" w:rsidP="009E7671">
      <w:pPr>
        <w:ind w:left="357"/>
        <w:rPr>
          <w:rFonts w:ascii="Arial" w:hAnsi="Arial" w:cs="Arial"/>
        </w:rPr>
      </w:pPr>
      <w:r w:rsidRPr="009E7671">
        <w:rPr>
          <w:rFonts w:ascii="Arial" w:hAnsi="Arial" w:cs="Arial"/>
        </w:rPr>
        <w:t>The first two phases are now complete with 51</w:t>
      </w:r>
      <w:r w:rsidR="001703D7">
        <w:rPr>
          <w:rFonts w:ascii="Arial" w:hAnsi="Arial" w:cs="Arial"/>
        </w:rPr>
        <w:t xml:space="preserve"> </w:t>
      </w:r>
      <w:r w:rsidRPr="009E7671">
        <w:rPr>
          <w:rFonts w:ascii="Arial" w:hAnsi="Arial" w:cs="Arial"/>
        </w:rPr>
        <w:t xml:space="preserve">rooms having been upgraded.  The continuation of this work is being considered in detail and the PAMS group will be updated accordingly </w:t>
      </w:r>
    </w:p>
    <w:p w:rsidR="009E7671" w:rsidRPr="009E7671" w:rsidRDefault="009E7671" w:rsidP="009E7671">
      <w:pPr>
        <w:ind w:left="357"/>
        <w:rPr>
          <w:rFonts w:ascii="Arial" w:hAnsi="Arial" w:cs="Arial"/>
        </w:rPr>
      </w:pPr>
    </w:p>
    <w:p w:rsidR="009E7671" w:rsidRPr="009E7671" w:rsidRDefault="009E7671" w:rsidP="009E7671">
      <w:pPr>
        <w:ind w:left="357"/>
        <w:rPr>
          <w:rFonts w:ascii="Arial" w:hAnsi="Arial" w:cs="Arial"/>
          <w:b/>
        </w:rPr>
      </w:pPr>
      <w:r w:rsidRPr="009E7671">
        <w:rPr>
          <w:rFonts w:ascii="Arial" w:hAnsi="Arial" w:cs="Arial"/>
          <w:b/>
        </w:rPr>
        <w:t>MRI Expansion</w:t>
      </w:r>
    </w:p>
    <w:p w:rsidR="009E7671" w:rsidRPr="009E7671" w:rsidRDefault="009E7671" w:rsidP="009E7671">
      <w:pPr>
        <w:ind w:left="357"/>
        <w:rPr>
          <w:rFonts w:ascii="Arial" w:hAnsi="Arial" w:cs="Arial"/>
          <w:b/>
        </w:rPr>
      </w:pPr>
    </w:p>
    <w:p w:rsidR="001F29F1" w:rsidRDefault="009E7671" w:rsidP="009E7671">
      <w:pPr>
        <w:ind w:left="357"/>
        <w:rPr>
          <w:rFonts w:ascii="Arial" w:hAnsi="Arial" w:cs="Arial"/>
        </w:rPr>
      </w:pPr>
      <w:r w:rsidRPr="009E7671">
        <w:rPr>
          <w:rFonts w:ascii="Arial" w:hAnsi="Arial" w:cs="Arial"/>
        </w:rPr>
        <w:t>Project to provide an additional two MRI Scanners and associated accommodation was successfully delivered during 2017/18. The temporary MRI Scanner has now been removed from site as it now surplus to requirements.</w:t>
      </w:r>
    </w:p>
    <w:p w:rsidR="0013588E" w:rsidRDefault="0013588E" w:rsidP="009E7671">
      <w:pPr>
        <w:ind w:left="357"/>
        <w:rPr>
          <w:rFonts w:ascii="Arial" w:hAnsi="Arial" w:cs="Arial"/>
        </w:rPr>
      </w:pPr>
    </w:p>
    <w:p w:rsidR="0013588E" w:rsidRPr="009E7671" w:rsidRDefault="0013588E" w:rsidP="0013588E">
      <w:pPr>
        <w:pStyle w:val="ListParagraph"/>
        <w:numPr>
          <w:ilvl w:val="0"/>
          <w:numId w:val="40"/>
        </w:numPr>
        <w:spacing w:after="0" w:line="240" w:lineRule="auto"/>
        <w:ind w:left="357" w:hanging="357"/>
        <w:rPr>
          <w:rFonts w:ascii="Arial" w:hAnsi="Arial" w:cs="Arial"/>
          <w:b/>
          <w:sz w:val="24"/>
          <w:szCs w:val="24"/>
        </w:rPr>
      </w:pPr>
      <w:r w:rsidRPr="009E7671">
        <w:rPr>
          <w:rFonts w:ascii="Arial" w:hAnsi="Arial" w:cs="Arial"/>
          <w:b/>
          <w:sz w:val="24"/>
          <w:szCs w:val="24"/>
        </w:rPr>
        <w:t>Strategic Assessments</w:t>
      </w:r>
    </w:p>
    <w:p w:rsidR="0013588E" w:rsidRPr="009E7671" w:rsidRDefault="0013588E" w:rsidP="0013588E">
      <w:pPr>
        <w:rPr>
          <w:rFonts w:ascii="Arial" w:hAnsi="Arial" w:cs="Arial"/>
          <w:b/>
        </w:rPr>
      </w:pPr>
    </w:p>
    <w:p w:rsidR="0013588E" w:rsidRPr="009E7671" w:rsidRDefault="0013588E" w:rsidP="0013588E">
      <w:pPr>
        <w:ind w:left="357"/>
        <w:rPr>
          <w:rFonts w:ascii="Arial" w:hAnsi="Arial" w:cs="Arial"/>
        </w:rPr>
      </w:pPr>
      <w:r w:rsidRPr="009E7671">
        <w:rPr>
          <w:rFonts w:ascii="Arial" w:hAnsi="Arial" w:cs="Arial"/>
        </w:rPr>
        <w:t>In connection with planned expansion of elective facilities the Board has submitted the following Strategic Assessments;</w:t>
      </w:r>
    </w:p>
    <w:p w:rsidR="0013588E" w:rsidRPr="009E7671" w:rsidRDefault="0013588E" w:rsidP="0013588E">
      <w:pPr>
        <w:ind w:left="357"/>
        <w:rPr>
          <w:rFonts w:ascii="Arial" w:hAnsi="Arial" w:cs="Arial"/>
        </w:rPr>
      </w:pPr>
    </w:p>
    <w:p w:rsidR="0013588E" w:rsidRPr="009E7671" w:rsidRDefault="0013588E" w:rsidP="0013588E">
      <w:pPr>
        <w:ind w:left="357"/>
        <w:rPr>
          <w:rFonts w:ascii="Arial" w:hAnsi="Arial" w:cs="Arial"/>
        </w:rPr>
      </w:pPr>
      <w:r w:rsidRPr="009E7671">
        <w:rPr>
          <w:rFonts w:ascii="Arial" w:hAnsi="Arial" w:cs="Arial"/>
        </w:rPr>
        <w:t>Phase One Ophthalmology Unit; and</w:t>
      </w:r>
    </w:p>
    <w:p w:rsidR="0013588E" w:rsidRPr="009E7671" w:rsidRDefault="0013588E" w:rsidP="0013588E">
      <w:pPr>
        <w:ind w:left="357"/>
        <w:rPr>
          <w:rFonts w:ascii="Arial" w:hAnsi="Arial" w:cs="Arial"/>
        </w:rPr>
      </w:pPr>
      <w:r w:rsidRPr="009E7671">
        <w:rPr>
          <w:rFonts w:ascii="Arial" w:hAnsi="Arial" w:cs="Arial"/>
        </w:rPr>
        <w:t>Phase Two Orthopaedic/Elective Surgery Centre.</w:t>
      </w:r>
    </w:p>
    <w:p w:rsidR="0013588E" w:rsidRPr="009E7671" w:rsidRDefault="0013588E" w:rsidP="0013588E">
      <w:pPr>
        <w:ind w:left="357"/>
        <w:rPr>
          <w:rFonts w:ascii="Arial" w:hAnsi="Arial" w:cs="Arial"/>
        </w:rPr>
      </w:pPr>
    </w:p>
    <w:p w:rsidR="0013588E" w:rsidRPr="009E7671" w:rsidRDefault="0013588E" w:rsidP="0013588E">
      <w:pPr>
        <w:ind w:left="357"/>
        <w:rPr>
          <w:rFonts w:ascii="Arial" w:hAnsi="Arial" w:cs="Arial"/>
        </w:rPr>
      </w:pPr>
      <w:r w:rsidRPr="009E7671">
        <w:rPr>
          <w:rFonts w:ascii="Arial" w:hAnsi="Arial" w:cs="Arial"/>
        </w:rPr>
        <w:t>The two SA’s are appended to this document.</w:t>
      </w:r>
    </w:p>
    <w:p w:rsidR="0013588E" w:rsidRPr="009E7671" w:rsidRDefault="0013588E" w:rsidP="0013588E">
      <w:pPr>
        <w:rPr>
          <w:rFonts w:ascii="Arial" w:hAnsi="Arial" w:cs="Arial"/>
        </w:rPr>
      </w:pPr>
    </w:p>
    <w:p w:rsidR="0013588E" w:rsidRPr="009E7671" w:rsidRDefault="0013588E" w:rsidP="0013588E">
      <w:pPr>
        <w:ind w:left="357"/>
        <w:rPr>
          <w:rFonts w:ascii="Arial" w:hAnsi="Arial" w:cs="Arial"/>
          <w:b/>
        </w:rPr>
      </w:pPr>
      <w:r w:rsidRPr="009E7671">
        <w:rPr>
          <w:rFonts w:ascii="Arial" w:hAnsi="Arial" w:cs="Arial"/>
          <w:b/>
        </w:rPr>
        <w:t>Initial Agreement</w:t>
      </w:r>
    </w:p>
    <w:p w:rsidR="0013588E" w:rsidRPr="009E7671" w:rsidRDefault="0013588E" w:rsidP="0013588E">
      <w:pPr>
        <w:ind w:left="357"/>
        <w:rPr>
          <w:rFonts w:ascii="Arial" w:hAnsi="Arial" w:cs="Arial"/>
          <w:b/>
        </w:rPr>
      </w:pPr>
    </w:p>
    <w:p w:rsidR="0013588E" w:rsidRPr="009E7671" w:rsidRDefault="0013588E" w:rsidP="0013588E">
      <w:pPr>
        <w:ind w:left="357"/>
        <w:rPr>
          <w:rFonts w:ascii="Arial" w:hAnsi="Arial" w:cs="Arial"/>
        </w:rPr>
      </w:pPr>
      <w:r w:rsidRPr="009E7671">
        <w:rPr>
          <w:rFonts w:ascii="Arial" w:hAnsi="Arial" w:cs="Arial"/>
        </w:rPr>
        <w:t>In the relation to Phase One an IA has been submitted and approved by SGHSCD with the O</w:t>
      </w:r>
      <w:r w:rsidR="001703D7">
        <w:rPr>
          <w:rFonts w:ascii="Arial" w:hAnsi="Arial" w:cs="Arial"/>
        </w:rPr>
        <w:t xml:space="preserve">utline </w:t>
      </w:r>
      <w:r w:rsidRPr="009E7671">
        <w:rPr>
          <w:rFonts w:ascii="Arial" w:hAnsi="Arial" w:cs="Arial"/>
        </w:rPr>
        <w:t>B</w:t>
      </w:r>
      <w:r w:rsidR="001703D7">
        <w:rPr>
          <w:rFonts w:ascii="Arial" w:hAnsi="Arial" w:cs="Arial"/>
        </w:rPr>
        <w:t xml:space="preserve">usiness </w:t>
      </w:r>
      <w:r w:rsidRPr="009E7671">
        <w:rPr>
          <w:rFonts w:ascii="Arial" w:hAnsi="Arial" w:cs="Arial"/>
        </w:rPr>
        <w:t>C</w:t>
      </w:r>
      <w:r w:rsidR="001703D7">
        <w:rPr>
          <w:rFonts w:ascii="Arial" w:hAnsi="Arial" w:cs="Arial"/>
        </w:rPr>
        <w:t>ase (OBC)</w:t>
      </w:r>
      <w:r w:rsidRPr="009E7671">
        <w:rPr>
          <w:rFonts w:ascii="Arial" w:hAnsi="Arial" w:cs="Arial"/>
        </w:rPr>
        <w:t xml:space="preserve"> planned for submission by the end of May 2018.</w:t>
      </w:r>
    </w:p>
    <w:p w:rsidR="0013588E" w:rsidRPr="009E7671" w:rsidRDefault="0013588E" w:rsidP="0013588E">
      <w:pPr>
        <w:ind w:left="357"/>
        <w:rPr>
          <w:rFonts w:ascii="Arial" w:hAnsi="Arial" w:cs="Arial"/>
        </w:rPr>
      </w:pPr>
    </w:p>
    <w:p w:rsidR="0013588E" w:rsidRPr="009E7671" w:rsidRDefault="0013588E" w:rsidP="0013588E">
      <w:pPr>
        <w:ind w:left="357"/>
        <w:rPr>
          <w:rFonts w:ascii="Arial" w:hAnsi="Arial" w:cs="Arial"/>
        </w:rPr>
      </w:pPr>
      <w:r w:rsidRPr="009E7671">
        <w:rPr>
          <w:rFonts w:ascii="Arial" w:hAnsi="Arial" w:cs="Arial"/>
        </w:rPr>
        <w:t>The Phase two IA is planned for submission to SGHSCD by the end of May 2018. Following approval work will commence on preparation of the Phase Two OBC.</w:t>
      </w:r>
    </w:p>
    <w:p w:rsidR="0013588E" w:rsidRDefault="0013588E" w:rsidP="009E7671">
      <w:pPr>
        <w:ind w:left="357"/>
        <w:rPr>
          <w:rFonts w:ascii="Arial" w:hAnsi="Arial" w:cs="Arial"/>
        </w:rPr>
      </w:pPr>
    </w:p>
    <w:p w:rsidR="001F29F1" w:rsidRPr="00BD267F" w:rsidRDefault="001F29F1" w:rsidP="001F29F1">
      <w:pPr>
        <w:rPr>
          <w:rFonts w:ascii="Arial" w:hAnsi="Arial" w:cs="Arial"/>
        </w:rPr>
      </w:pPr>
    </w:p>
    <w:p w:rsidR="001F29F1" w:rsidRPr="009E7671" w:rsidRDefault="001F29F1" w:rsidP="001F29F1">
      <w:pPr>
        <w:rPr>
          <w:rFonts w:ascii="Arial" w:hAnsi="Arial" w:cs="Arial"/>
        </w:rPr>
      </w:pPr>
      <w:r w:rsidRPr="009E7671">
        <w:rPr>
          <w:rFonts w:ascii="Arial" w:hAnsi="Arial" w:cs="Arial"/>
        </w:rPr>
        <w:t>Julie Carter</w:t>
      </w:r>
    </w:p>
    <w:p w:rsidR="001F29F1" w:rsidRPr="009E7671" w:rsidRDefault="001F29F1" w:rsidP="001F29F1">
      <w:pPr>
        <w:rPr>
          <w:rFonts w:ascii="Arial" w:hAnsi="Arial" w:cs="Arial"/>
        </w:rPr>
      </w:pPr>
      <w:r w:rsidRPr="009E7671">
        <w:rPr>
          <w:rFonts w:ascii="Arial" w:hAnsi="Arial" w:cs="Arial"/>
        </w:rPr>
        <w:t>Director of Finance</w:t>
      </w:r>
    </w:p>
    <w:p w:rsidR="001F29F1" w:rsidRPr="009E7671" w:rsidRDefault="001F29F1" w:rsidP="001F29F1">
      <w:pPr>
        <w:rPr>
          <w:rFonts w:ascii="Arial" w:hAnsi="Arial" w:cs="Arial"/>
        </w:rPr>
      </w:pPr>
    </w:p>
    <w:p w:rsidR="001F29F1" w:rsidRPr="009E7671" w:rsidRDefault="001F29F1" w:rsidP="001F29F1">
      <w:pPr>
        <w:rPr>
          <w:rFonts w:ascii="Arial" w:hAnsi="Arial" w:cs="Arial"/>
        </w:rPr>
      </w:pPr>
      <w:r w:rsidRPr="009E7671">
        <w:rPr>
          <w:rFonts w:ascii="Arial" w:hAnsi="Arial" w:cs="Arial"/>
        </w:rPr>
        <w:t>Prepared by Lily Bryson (Assistant Director of Finance) and Gerry Cox (Head of Estates)</w:t>
      </w:r>
    </w:p>
    <w:p w:rsidR="001F29F1" w:rsidRPr="009E7671" w:rsidRDefault="001F29F1" w:rsidP="001F29F1">
      <w:pPr>
        <w:rPr>
          <w:rFonts w:ascii="Arial" w:hAnsi="Arial" w:cs="Arial"/>
        </w:rPr>
      </w:pPr>
    </w:p>
    <w:p w:rsidR="001F29F1" w:rsidRPr="009E7671" w:rsidRDefault="001F29F1" w:rsidP="001F29F1">
      <w:pPr>
        <w:rPr>
          <w:rFonts w:ascii="Arial" w:hAnsi="Arial" w:cs="Arial"/>
        </w:rPr>
      </w:pPr>
      <w:r w:rsidRPr="009E7671">
        <w:rPr>
          <w:rFonts w:ascii="Arial" w:hAnsi="Arial" w:cs="Arial"/>
        </w:rPr>
        <w:br w:type="page"/>
      </w:r>
    </w:p>
    <w:p w:rsidR="001F29F1" w:rsidRDefault="001F29F1" w:rsidP="001F29F1">
      <w:pPr>
        <w:rPr>
          <w:rFonts w:ascii="Arial" w:hAnsi="Arial" w:cs="Arial"/>
          <w:b/>
        </w:rPr>
      </w:pPr>
      <w:r w:rsidRPr="009E7671">
        <w:rPr>
          <w:rFonts w:ascii="Arial" w:hAnsi="Arial" w:cs="Arial"/>
          <w:b/>
        </w:rPr>
        <w:lastRenderedPageBreak/>
        <w:t>Strategic Assessment – Phase One</w:t>
      </w:r>
    </w:p>
    <w:p w:rsidR="00AD2955" w:rsidRPr="009E7671" w:rsidRDefault="00AD2955" w:rsidP="001F29F1">
      <w:pPr>
        <w:rPr>
          <w:rFonts w:ascii="Arial" w:hAnsi="Arial" w:cs="Arial"/>
          <w:b/>
        </w:rPr>
      </w:pPr>
    </w:p>
    <w:p w:rsidR="001F29F1" w:rsidRPr="009E7671" w:rsidRDefault="001F29F1" w:rsidP="001F29F1">
      <w:pPr>
        <w:rPr>
          <w:rFonts w:ascii="Arial" w:hAnsi="Arial" w:cs="Arial"/>
          <w:b/>
        </w:rPr>
      </w:pPr>
    </w:p>
    <w:p w:rsidR="001F29F1" w:rsidRPr="009E7671" w:rsidRDefault="00AD2955" w:rsidP="001F29F1">
      <w:pPr>
        <w:rPr>
          <w:rFonts w:ascii="Arial" w:hAnsi="Arial" w:cs="Arial"/>
          <w:b/>
        </w:rPr>
      </w:pPr>
      <w:r w:rsidRPr="00AD2955">
        <w:rPr>
          <w:rFonts w:ascii="Arial" w:hAnsi="Arial" w:cs="Arial"/>
          <w:b/>
          <w:noProof/>
          <w:lang w:eastAsia="en-GB"/>
        </w:rPr>
        <w:drawing>
          <wp:inline distT="0" distB="0" distL="0" distR="0">
            <wp:extent cx="5274310" cy="6324600"/>
            <wp:effectExtent l="0" t="0" r="2540" b="0"/>
            <wp:docPr id="4"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90304" cy="6858000"/>
                      <a:chOff x="-73152" y="0"/>
                      <a:chExt cx="9290304" cy="6858000"/>
                    </a:xfrm>
                  </a:grpSpPr>
                  <a:sp>
                    <a:nvSpPr>
                      <a:cNvPr id="2" name="Rectangle 62"/>
                      <a:cNvSpPr/>
                    </a:nvSpPr>
                    <a:spPr>
                      <a:xfrm>
                        <a:off x="0" y="692694"/>
                        <a:ext cx="9144000" cy="6165305"/>
                      </a:xfrm>
                      <a:prstGeom prst="rect">
                        <a:avLst/>
                      </a:prstGeom>
                      <a:noFill/>
                      <a:ln w="25402">
                        <a:solidFill>
                          <a:srgbClr val="385D8A"/>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800" b="0" i="0" u="none" strike="noStrike" kern="1200" cap="none" spc="0" baseline="0">
                            <a:solidFill>
                              <a:srgbClr val="FFFFFF"/>
                            </a:solidFill>
                            <a:uFillTx/>
                            <a:latin typeface="Calibri"/>
                          </a:endParaRPr>
                        </a:p>
                      </a:txBody>
                      <a:useSpRect/>
                    </a:txSp>
                  </a:sp>
                  <a:sp>
                    <a:nvSpPr>
                      <a:cNvPr id="3" name="Rectangle 4"/>
                      <a:cNvSpPr/>
                    </a:nvSpPr>
                    <a:spPr>
                      <a:xfrm>
                        <a:off x="0" y="0"/>
                        <a:ext cx="827586" cy="6858000"/>
                      </a:xfrm>
                      <a:prstGeom prst="rect">
                        <a:avLst/>
                      </a:prstGeom>
                      <a:solidFill>
                        <a:srgbClr val="FF0000">
                          <a:alpha val="25000"/>
                        </a:srgbClr>
                      </a:solidFill>
                      <a:ln>
                        <a:no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800" b="0" i="0" u="none" strike="noStrike" kern="1200" cap="none" spc="0" baseline="0">
                            <a:solidFill>
                              <a:srgbClr val="FFFFFF"/>
                            </a:solidFill>
                            <a:uFillTx/>
                            <a:latin typeface="Calibri"/>
                          </a:endParaRPr>
                        </a:p>
                      </a:txBody>
                      <a:useSpRect/>
                    </a:txSp>
                  </a:sp>
                  <a:sp>
                    <a:nvSpPr>
                      <a:cNvPr id="4" name="Rectangle 3"/>
                      <a:cNvSpPr/>
                    </a:nvSpPr>
                    <a:spPr>
                      <a:xfrm>
                        <a:off x="0" y="0"/>
                        <a:ext cx="3491883" cy="692694"/>
                      </a:xfrm>
                      <a:prstGeom prst="rect">
                        <a:avLst/>
                      </a:prstGeom>
                      <a:solidFill>
                        <a:srgbClr val="FF0000"/>
                      </a:solidFill>
                      <a:ln>
                        <a:no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400" b="0" i="0" u="none" strike="noStrike" kern="1200" cap="none" spc="0" baseline="0" dirty="0" smtClean="0">
                              <a:solidFill>
                                <a:srgbClr val="FFFFFF"/>
                              </a:solidFill>
                              <a:uFillTx/>
                              <a:latin typeface="Calibri"/>
                            </a:rPr>
                            <a:t>Golden Jubilee Ophthalmology</a:t>
                          </a:r>
                          <a:r>
                            <a:rPr lang="en-GB" sz="1400" b="0" i="0" u="none" strike="noStrike" kern="1200" cap="none" spc="0" dirty="0" smtClean="0">
                              <a:solidFill>
                                <a:srgbClr val="FFFFFF"/>
                              </a:solidFill>
                              <a:uFillTx/>
                              <a:latin typeface="Calibri"/>
                            </a:rPr>
                            <a:t> Phase 1 relocation</a:t>
                          </a:r>
                          <a:endParaRPr lang="en-GB" sz="1400" b="0" i="0" u="none" strike="noStrike" kern="1200" cap="none" spc="0" baseline="0" dirty="0">
                            <a:solidFill>
                              <a:srgbClr val="FFFFFF"/>
                            </a:solidFill>
                            <a:uFillTx/>
                            <a:latin typeface="Calibri"/>
                          </a:endParaRPr>
                        </a:p>
                      </a:txBody>
                      <a:useSpRect/>
                    </a:txSp>
                  </a:sp>
                  <a:sp>
                    <a:nvSpPr>
                      <a:cNvPr id="5" name="TextBox 11"/>
                      <a:cNvSpPr txBox="1"/>
                    </a:nvSpPr>
                    <a:spPr>
                      <a:xfrm>
                        <a:off x="179515" y="332656"/>
                        <a:ext cx="3312368" cy="646331"/>
                      </a:xfrm>
                      <a:prstGeom prst="rect">
                        <a:avLst/>
                      </a:prstGeom>
                      <a:noFill/>
                      <a:ln>
                        <a:noFill/>
                      </a:ln>
                    </a:spPr>
                    <a:txSp>
                      <a:txBody>
                        <a:bodyPr vert="horz" wrap="square" lIns="91440" tIns="45720" rIns="91440" bIns="45720" anchor="t" anchorCtr="0"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800" b="0" i="0" u="none" strike="noStrike" kern="1200" cap="none" spc="0" baseline="0" dirty="0" smtClean="0">
                              <a:solidFill>
                                <a:srgbClr val="FFFFFF"/>
                              </a:solidFill>
                              <a:uFillTx/>
                              <a:latin typeface="Calibri"/>
                            </a:rPr>
                            <a:t>PROJECT:</a:t>
                          </a:r>
                        </a:p>
                        <a:p>
                          <a:pPr marL="0" marR="0" lvl="0" indent="0" algn="l"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800" b="0" i="0" u="none" strike="noStrike" kern="1200" cap="none" spc="0" baseline="0" dirty="0" smtClean="0">
                              <a:solidFill>
                                <a:srgbClr val="FFFFFF"/>
                              </a:solidFill>
                              <a:uFillTx/>
                              <a:latin typeface="Calibri"/>
                            </a:rPr>
                            <a:t>  </a:t>
                          </a:r>
                          <a:endParaRPr lang="en-GB" sz="1800" b="0" i="0" u="none" strike="noStrike" kern="1200" cap="none" spc="0" baseline="0" dirty="0">
                            <a:solidFill>
                              <a:srgbClr val="FFFFFF"/>
                            </a:solidFill>
                            <a:uFillTx/>
                            <a:latin typeface="Calibri"/>
                          </a:endParaRPr>
                        </a:p>
                      </a:txBody>
                      <a:useSpRect/>
                    </a:txSp>
                  </a:sp>
                  <a:pic>
                    <a:nvPicPr>
                      <a:cNvPr id="6" name="Picture 60"/>
                      <a:cNvPicPr>
                        <a:picLocks noChangeAspect="1"/>
                      </a:cNvPicPr>
                    </a:nvPicPr>
                    <a:blipFill>
                      <a:blip r:embed="rId19" cstate="print"/>
                      <a:stretch>
                        <a:fillRect/>
                      </a:stretch>
                    </a:blipFill>
                    <a:spPr>
                      <a:xfrm>
                        <a:off x="-73152" y="627891"/>
                        <a:ext cx="9290304" cy="786384"/>
                      </a:xfrm>
                      <a:prstGeom prst="rect">
                        <a:avLst/>
                      </a:prstGeom>
                      <a:noFill/>
                      <a:ln>
                        <a:noFill/>
                      </a:ln>
                    </a:spPr>
                  </a:pic>
                  <a:sp>
                    <a:nvSpPr>
                      <a:cNvPr id="7" name="Rectangle 14"/>
                      <a:cNvSpPr/>
                    </a:nvSpPr>
                    <a:spPr>
                      <a:xfrm>
                        <a:off x="251524" y="2708919"/>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uFillTx/>
                              <a:latin typeface="Calibri"/>
                            </a:rPr>
                            <a:t>Elective capacity</a:t>
                          </a:r>
                          <a:r>
                            <a:rPr lang="en-GB" sz="900" b="0" i="0" u="none" strike="noStrike" kern="1200" cap="none" spc="0" dirty="0" smtClean="0">
                              <a:uFillTx/>
                              <a:latin typeface="Calibri"/>
                            </a:rPr>
                            <a:t> growth has not kept pace with activity levels to keep waiting times down</a:t>
                          </a:r>
                          <a:r>
                            <a:rPr lang="en-GB" sz="900" b="0" i="0" u="none" strike="noStrike" kern="1200" cap="none" spc="0" baseline="0" dirty="0" smtClean="0">
                              <a:uFillTx/>
                              <a:latin typeface="Calibri"/>
                            </a:rPr>
                            <a:t> </a:t>
                          </a:r>
                          <a:endParaRPr lang="en-GB" sz="900" b="0" i="0" u="none" strike="noStrike" kern="1200" cap="none" spc="0" baseline="0" dirty="0">
                            <a:uFillTx/>
                            <a:latin typeface="Calibri"/>
                          </a:endParaRPr>
                        </a:p>
                      </a:txBody>
                      <a:useSpRect/>
                    </a:txSp>
                  </a:sp>
                  <a:sp>
                    <a:nvSpPr>
                      <a:cNvPr id="8" name="Rectangle 13"/>
                      <a:cNvSpPr/>
                    </a:nvSpPr>
                    <a:spPr>
                      <a:xfrm>
                        <a:off x="251524" y="1628802"/>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solidFill>
                                <a:srgbClr val="000000"/>
                              </a:solidFill>
                              <a:uFillTx/>
                              <a:latin typeface="Calibri"/>
                            </a:rPr>
                            <a:t>Increasing</a:t>
                          </a:r>
                          <a:r>
                            <a:rPr lang="en-GB" sz="900" b="0" i="0" u="none" strike="noStrike" kern="1200" cap="none" spc="0" dirty="0" smtClean="0">
                              <a:solidFill>
                                <a:srgbClr val="000000"/>
                              </a:solidFill>
                              <a:uFillTx/>
                              <a:latin typeface="Calibri"/>
                            </a:rPr>
                            <a:t> demand for cataract surgery from an expanding elderly population</a:t>
                          </a:r>
                          <a:endParaRPr lang="en-GB" sz="900" b="0" i="0" u="none" strike="noStrike" kern="1200" cap="none" spc="0" baseline="0" dirty="0">
                            <a:solidFill>
                              <a:srgbClr val="000000"/>
                            </a:solidFill>
                            <a:uFillTx/>
                            <a:latin typeface="Calibri"/>
                          </a:endParaRPr>
                        </a:p>
                      </a:txBody>
                      <a:useSpRect/>
                    </a:txSp>
                  </a:sp>
                  <a:sp>
                    <a:nvSpPr>
                      <a:cNvPr id="9" name="Rectangle 15"/>
                      <a:cNvSpPr/>
                    </a:nvSpPr>
                    <a:spPr>
                      <a:xfrm>
                        <a:off x="251524" y="3789035"/>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uFillTx/>
                              <a:latin typeface="Calibri"/>
                            </a:rPr>
                            <a:t>There</a:t>
                          </a:r>
                          <a:r>
                            <a:rPr lang="en-GB" sz="900" b="0" i="0" u="none" strike="noStrike" kern="1200" cap="none" spc="0" dirty="0" smtClean="0">
                              <a:uFillTx/>
                              <a:latin typeface="Calibri"/>
                            </a:rPr>
                            <a:t> is currently an unmet need for general surgery that GJ cannot fulfil within existing theatre capacity</a:t>
                          </a:r>
                          <a:endParaRPr lang="en-GB" sz="900" b="0" i="0" u="none" strike="noStrike" kern="1200" cap="none" spc="0" baseline="0" dirty="0">
                            <a:uFillTx/>
                            <a:latin typeface="Calibri"/>
                          </a:endParaRPr>
                        </a:p>
                      </a:txBody>
                      <a:useSpRect/>
                    </a:txSp>
                  </a:sp>
                  <a:sp>
                    <a:nvSpPr>
                      <a:cNvPr id="10" name="Rectangle 16"/>
                      <a:cNvSpPr/>
                    </a:nvSpPr>
                    <a:spPr>
                      <a:xfrm>
                        <a:off x="251524" y="4869161"/>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uFillTx/>
                              <a:latin typeface="Calibri"/>
                            </a:rPr>
                            <a:t>The new GJ</a:t>
                          </a:r>
                          <a:r>
                            <a:rPr lang="en-GB" sz="900" b="0" i="0" u="none" strike="noStrike" kern="1200" cap="none" spc="0" dirty="0" smtClean="0">
                              <a:uFillTx/>
                              <a:latin typeface="Calibri"/>
                            </a:rPr>
                            <a:t> Ophthalmology redesign involves new prototype theatres and will deliver  increased OP capacity</a:t>
                          </a:r>
                          <a:endParaRPr lang="en-GB" sz="900" b="0" i="0" u="none" strike="noStrike" kern="1200" cap="none" spc="0" baseline="0" dirty="0">
                            <a:uFillTx/>
                            <a:latin typeface="Calibri"/>
                          </a:endParaRPr>
                        </a:p>
                      </a:txBody>
                      <a:useSpRect/>
                    </a:txSp>
                  </a:sp>
                  <a:sp>
                    <a:nvSpPr>
                      <a:cNvPr id="11" name="Rectangle 17"/>
                      <a:cNvSpPr/>
                    </a:nvSpPr>
                    <a:spPr>
                      <a:xfrm>
                        <a:off x="251524" y="5949278"/>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uFillTx/>
                              <a:latin typeface="Calibri"/>
                            </a:rPr>
                            <a:t>The National Clinical Strategy supports the move</a:t>
                          </a:r>
                          <a:r>
                            <a:rPr lang="en-GB" sz="900" b="0" i="0" u="none" strike="noStrike" kern="1200" cap="none" spc="0" dirty="0" smtClean="0">
                              <a:uFillTx/>
                              <a:latin typeface="Calibri"/>
                            </a:rPr>
                            <a:t> to centralise complex and high volume surgeries within specialist centres</a:t>
                          </a:r>
                          <a:endParaRPr lang="en-GB" sz="900" b="0" i="0" u="none" strike="noStrike" kern="1200" cap="none" spc="0" baseline="0" dirty="0">
                            <a:uFillTx/>
                            <a:latin typeface="Calibri"/>
                          </a:endParaRPr>
                        </a:p>
                      </a:txBody>
                      <a:useSpRect/>
                    </a:txSp>
                  </a:sp>
                  <a:sp>
                    <a:nvSpPr>
                      <a:cNvPr id="12" name="Rectangle 21"/>
                      <a:cNvSpPr/>
                    </a:nvSpPr>
                    <a:spPr>
                      <a:xfrm>
                        <a:off x="2555775" y="1412775"/>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uFillTx/>
                              <a:latin typeface="Calibri"/>
                            </a:rPr>
                            <a:t>Additional capacity</a:t>
                          </a:r>
                          <a:r>
                            <a:rPr lang="en-GB" sz="1100" b="0" i="0" u="none" strike="noStrike" kern="1200" cap="none" spc="0" dirty="0" smtClean="0">
                              <a:uFillTx/>
                              <a:latin typeface="Calibri"/>
                            </a:rPr>
                            <a:t> to meet immediate demand in general surgery will be created</a:t>
                          </a:r>
                          <a:endParaRPr lang="en-GB" sz="1100" b="0" i="0" u="none" strike="noStrike" kern="1200" cap="none" spc="0" baseline="0" dirty="0">
                            <a:uFillTx/>
                            <a:latin typeface="Calibri"/>
                          </a:endParaRPr>
                        </a:p>
                      </a:txBody>
                      <a:useSpRect/>
                    </a:txSp>
                  </a:sp>
                  <a:sp>
                    <a:nvSpPr>
                      <a:cNvPr id="13" name="Rectangle 22"/>
                      <a:cNvSpPr/>
                    </a:nvSpPr>
                    <a:spPr>
                      <a:xfrm>
                        <a:off x="2555775" y="3753035"/>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uFillTx/>
                              <a:latin typeface="Calibri"/>
                            </a:rPr>
                            <a:t>Cancellations of elective surgery across the </a:t>
                          </a:r>
                          <a:r>
                            <a:rPr lang="en-GB" sz="1100" dirty="0" smtClean="0">
                              <a:latin typeface="Calibri"/>
                            </a:rPr>
                            <a:t>West of Scotland </a:t>
                          </a:r>
                          <a:r>
                            <a:rPr lang="en-GB" sz="1100" b="0" i="0" u="none" strike="noStrike" kern="1200" cap="none" spc="0" baseline="0" dirty="0" smtClean="0">
                              <a:uFillTx/>
                              <a:latin typeface="Calibri"/>
                            </a:rPr>
                            <a:t>will be</a:t>
                          </a:r>
                          <a:r>
                            <a:rPr lang="en-GB" sz="1100" b="0" i="0" u="none" strike="noStrike" kern="1200" cap="none" spc="0" dirty="0" smtClean="0">
                              <a:uFillTx/>
                              <a:latin typeface="Calibri"/>
                            </a:rPr>
                            <a:t> reduced</a:t>
                          </a:r>
                          <a:endParaRPr lang="en-GB" sz="1100" b="0" i="0" u="none" strike="noStrike" kern="1200" cap="none" spc="0" baseline="0" dirty="0">
                            <a:uFillTx/>
                            <a:latin typeface="Calibri"/>
                          </a:endParaRPr>
                        </a:p>
                      </a:txBody>
                      <a:useSpRect/>
                    </a:txSp>
                  </a:sp>
                  <a:sp>
                    <a:nvSpPr>
                      <a:cNvPr id="14" name="Rectangle 23"/>
                      <a:cNvSpPr/>
                    </a:nvSpPr>
                    <a:spPr>
                      <a:xfrm>
                        <a:off x="2555775" y="4533119"/>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b="0" i="0" u="none" strike="noStrike" kern="1200" cap="none" spc="0" baseline="0" dirty="0" err="1" smtClean="0">
                              <a:solidFill>
                                <a:srgbClr val="000000"/>
                              </a:solidFill>
                              <a:uFillTx/>
                              <a:latin typeface="Calibri"/>
                            </a:rPr>
                            <a:t>WoS</a:t>
                          </a:r>
                          <a:r>
                            <a:rPr lang="en-GB" sz="1000" b="0" i="0" u="none" strike="noStrike" kern="1200" cap="none" spc="0" baseline="0" dirty="0" smtClean="0">
                              <a:solidFill>
                                <a:srgbClr val="000000"/>
                              </a:solidFill>
                              <a:uFillTx/>
                              <a:latin typeface="Calibri"/>
                            </a:rPr>
                            <a:t> will have greater</a:t>
                          </a:r>
                          <a:r>
                            <a:rPr lang="en-GB" sz="1000" b="0" i="0" u="none" strike="noStrike" kern="1200" cap="none" spc="0" dirty="0" smtClean="0">
                              <a:solidFill>
                                <a:srgbClr val="000000"/>
                              </a:solidFill>
                              <a:uFillTx/>
                              <a:latin typeface="Calibri"/>
                            </a:rPr>
                            <a:t> resilience </a:t>
                          </a:r>
                          <a:r>
                            <a:rPr lang="en-GB" sz="1000" dirty="0" smtClean="0">
                              <a:solidFill>
                                <a:srgbClr val="000000"/>
                              </a:solidFill>
                              <a:latin typeface="Calibri"/>
                            </a:rPr>
                            <a:t>to </a:t>
                          </a:r>
                          <a:r>
                            <a:rPr lang="en-GB" sz="1000" b="0" i="0" u="none" strike="noStrike" kern="1200" cap="none" spc="0" dirty="0" smtClean="0">
                              <a:solidFill>
                                <a:srgbClr val="000000"/>
                              </a:solidFill>
                              <a:uFillTx/>
                              <a:latin typeface="Calibri"/>
                            </a:rPr>
                            <a:t>deal with winter pressures and use beds and theatres more flexibly</a:t>
                          </a:r>
                          <a:endParaRPr lang="en-GB" sz="1000" b="0" i="0" u="none" strike="noStrike" kern="1200" cap="none" spc="0" baseline="0" dirty="0">
                            <a:solidFill>
                              <a:srgbClr val="000000"/>
                            </a:solidFill>
                            <a:uFillTx/>
                            <a:latin typeface="Calibri"/>
                          </a:endParaRPr>
                        </a:p>
                      </a:txBody>
                      <a:useSpRect/>
                    </a:txSp>
                  </a:sp>
                  <a:sp>
                    <a:nvSpPr>
                      <a:cNvPr id="16" name="Rectangle 25"/>
                      <a:cNvSpPr/>
                    </a:nvSpPr>
                    <a:spPr>
                      <a:xfrm>
                        <a:off x="2555776" y="5517232"/>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solidFill>
                                <a:srgbClr val="000000"/>
                              </a:solidFill>
                              <a:uFillTx/>
                              <a:latin typeface="Calibri"/>
                            </a:rPr>
                            <a:t>Facilitates</a:t>
                          </a:r>
                          <a:r>
                            <a:rPr lang="en-GB" sz="1100" b="0" i="0" u="none" strike="noStrike" kern="1200" cap="none" spc="0" dirty="0" smtClean="0">
                              <a:solidFill>
                                <a:srgbClr val="000000"/>
                              </a:solidFill>
                              <a:uFillTx/>
                              <a:latin typeface="Calibri"/>
                            </a:rPr>
                            <a:t> the ongoing adoption and spread of best practice in delivering high quality care</a:t>
                          </a:r>
                          <a:endParaRPr lang="en-GB" sz="1100" b="0" i="0" u="none" strike="noStrike" kern="1200" cap="none" spc="0" baseline="0" dirty="0">
                            <a:solidFill>
                              <a:srgbClr val="000000"/>
                            </a:solidFill>
                            <a:uFillTx/>
                            <a:latin typeface="Calibri"/>
                          </a:endParaRPr>
                        </a:p>
                      </a:txBody>
                      <a:useSpRect/>
                    </a:txSp>
                  </a:sp>
                  <a:sp>
                    <a:nvSpPr>
                      <a:cNvPr id="17" name="Rectangle 26"/>
                      <a:cNvSpPr/>
                    </a:nvSpPr>
                    <a:spPr>
                      <a:xfrm>
                        <a:off x="2555775" y="2192859"/>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uFillTx/>
                              <a:latin typeface="Calibri"/>
                            </a:rPr>
                            <a:t>Waiting</a:t>
                          </a:r>
                          <a:r>
                            <a:rPr lang="en-GB" sz="1100" b="0" i="0" u="none" strike="noStrike" kern="1200" cap="none" spc="0" dirty="0" smtClean="0">
                              <a:uFillTx/>
                              <a:latin typeface="Calibri"/>
                            </a:rPr>
                            <a:t> time guarantees will be delivered on a more sustainable basis  </a:t>
                          </a:r>
                          <a:endParaRPr lang="en-GB" sz="1100" b="0" i="0" u="none" strike="noStrike" kern="1200" cap="none" spc="0" baseline="0" dirty="0">
                            <a:uFillTx/>
                            <a:latin typeface="Calibri"/>
                          </a:endParaRPr>
                        </a:p>
                      </a:txBody>
                      <a:useSpRect/>
                    </a:txSp>
                  </a:sp>
                  <a:sp>
                    <a:nvSpPr>
                      <a:cNvPr id="18" name="Rectangle 27"/>
                      <a:cNvSpPr/>
                    </a:nvSpPr>
                    <a:spPr>
                      <a:xfrm>
                        <a:off x="2555775" y="2972952"/>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uFillTx/>
                              <a:latin typeface="Calibri"/>
                            </a:rPr>
                            <a:t>Private sector use will be reduced</a:t>
                          </a:r>
                          <a:endParaRPr lang="en-GB" sz="1100" b="0" i="0" u="none" strike="noStrike" kern="1200" cap="none" spc="0" baseline="0" dirty="0">
                            <a:uFillTx/>
                            <a:latin typeface="Calibri"/>
                          </a:endParaRPr>
                        </a:p>
                      </a:txBody>
                      <a:useSpRect/>
                    </a:txSp>
                  </a:sp>
                  <a:sp>
                    <a:nvSpPr>
                      <a:cNvPr id="19" name="Rectangle 28"/>
                      <a:cNvSpPr/>
                    </a:nvSpPr>
                    <a:spPr>
                      <a:xfrm>
                        <a:off x="5220071" y="1700811"/>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Person Centred</a:t>
                          </a:r>
                        </a:p>
                      </a:txBody>
                      <a:useSpRect/>
                    </a:txSp>
                  </a:sp>
                  <a:sp>
                    <a:nvSpPr>
                      <a:cNvPr id="20" name="Rectangle 29"/>
                      <a:cNvSpPr/>
                    </a:nvSpPr>
                    <a:spPr>
                      <a:xfrm>
                        <a:off x="5220071" y="2636910"/>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dirty="0">
                              <a:solidFill>
                                <a:srgbClr val="000000"/>
                              </a:solidFill>
                              <a:uFillTx/>
                              <a:latin typeface="Calibri"/>
                            </a:rPr>
                            <a:t>Safe</a:t>
                          </a:r>
                        </a:p>
                      </a:txBody>
                      <a:useSpRect/>
                    </a:txSp>
                  </a:sp>
                  <a:sp>
                    <a:nvSpPr>
                      <a:cNvPr id="21" name="Rectangle 30"/>
                      <a:cNvSpPr/>
                    </a:nvSpPr>
                    <a:spPr>
                      <a:xfrm>
                        <a:off x="5220071" y="3573018"/>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Effective Quality of Care</a:t>
                          </a:r>
                        </a:p>
                      </a:txBody>
                      <a:useSpRect/>
                    </a:txSp>
                  </a:sp>
                  <a:sp>
                    <a:nvSpPr>
                      <a:cNvPr id="22" name="Rectangle 31"/>
                      <a:cNvSpPr/>
                    </a:nvSpPr>
                    <a:spPr>
                      <a:xfrm>
                        <a:off x="5220071" y="4581125"/>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Health of Population</a:t>
                          </a:r>
                        </a:p>
                      </a:txBody>
                      <a:useSpRect/>
                    </a:txSp>
                  </a:sp>
                  <a:sp>
                    <a:nvSpPr>
                      <a:cNvPr id="23" name="Rectangle 32"/>
                      <a:cNvSpPr/>
                    </a:nvSpPr>
                    <a:spPr>
                      <a:xfrm>
                        <a:off x="5220071" y="5589242"/>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Value &amp; Sustainability</a:t>
                          </a:r>
                        </a:p>
                      </a:txBody>
                      <a:useSpRect/>
                    </a:txSp>
                  </a:sp>
                  <a:sp>
                    <a:nvSpPr>
                      <a:cNvPr id="24" name="Rectangle 34"/>
                      <a:cNvSpPr/>
                    </a:nvSpPr>
                    <a:spPr>
                      <a:xfrm>
                        <a:off x="6516215" y="1844820"/>
                        <a:ext cx="432044" cy="360035"/>
                      </a:xfrm>
                      <a:prstGeom prst="rect">
                        <a:avLst/>
                      </a:prstGeom>
                      <a:solidFill>
                        <a:srgbClr val="FFFFFF"/>
                      </a:solid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5" name="Rectangle 35"/>
                      <a:cNvSpPr/>
                    </a:nvSpPr>
                    <a:spPr>
                      <a:xfrm>
                        <a:off x="6516215" y="2780928"/>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6" name="Rectangle 38"/>
                      <a:cNvSpPr/>
                    </a:nvSpPr>
                    <a:spPr>
                      <a:xfrm>
                        <a:off x="6516215" y="3717035"/>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7" name="Rectangle 40"/>
                      <a:cNvSpPr/>
                    </a:nvSpPr>
                    <a:spPr>
                      <a:xfrm>
                        <a:off x="6516215" y="4725143"/>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8" name="Rectangle 42"/>
                      <a:cNvSpPr/>
                    </a:nvSpPr>
                    <a:spPr>
                      <a:xfrm>
                        <a:off x="6516215" y="5733260"/>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9" name="TextBox 43"/>
                      <a:cNvSpPr txBox="1"/>
                    </a:nvSpPr>
                    <a:spPr>
                      <a:xfrm>
                        <a:off x="6228179" y="1340766"/>
                        <a:ext cx="1008107" cy="461662"/>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Prioritisation Score</a:t>
                          </a:r>
                        </a:p>
                      </a:txBody>
                      <a:useSpRect/>
                    </a:txSp>
                  </a:sp>
                  <a:sp>
                    <a:nvSpPr>
                      <a:cNvPr id="30" name="Rectangle 45"/>
                      <a:cNvSpPr/>
                    </a:nvSpPr>
                    <a:spPr>
                      <a:xfrm>
                        <a:off x="7524332" y="1700811"/>
                        <a:ext cx="1440161" cy="720077"/>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solidFill>
                                <a:srgbClr val="000000"/>
                              </a:solidFill>
                              <a:uFillTx/>
                              <a:latin typeface="Calibri"/>
                            </a:rPr>
                            <a:t>Relocation of two eye theatres</a:t>
                          </a:r>
                          <a:r>
                            <a:rPr lang="en-GB" sz="900" b="0" i="0" u="none" strike="noStrike" kern="1200" cap="none" spc="0" dirty="0" smtClean="0">
                              <a:solidFill>
                                <a:srgbClr val="000000"/>
                              </a:solidFill>
                              <a:uFillTx/>
                              <a:latin typeface="Calibri"/>
                            </a:rPr>
                            <a:t> will enable re-provision as two new general surgery theatres</a:t>
                          </a:r>
                          <a:endParaRPr lang="en-GB" sz="900" b="0" i="0" u="none" strike="noStrike" kern="1200" cap="none" spc="0" baseline="0" dirty="0">
                            <a:solidFill>
                              <a:srgbClr val="000000"/>
                            </a:solidFill>
                            <a:uFillTx/>
                            <a:latin typeface="Calibri"/>
                          </a:endParaRPr>
                        </a:p>
                      </a:txBody>
                      <a:useSpRect/>
                    </a:txSp>
                  </a:sp>
                  <a:sp>
                    <a:nvSpPr>
                      <a:cNvPr id="31" name="Rectangle 46"/>
                      <a:cNvSpPr/>
                    </a:nvSpPr>
                    <a:spPr>
                      <a:xfrm>
                        <a:off x="7524332" y="2780928"/>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b="0" i="0" u="none" strike="noStrike" kern="1200" cap="none" spc="0" baseline="0" dirty="0" smtClean="0">
                              <a:solidFill>
                                <a:srgbClr val="000000"/>
                              </a:solidFill>
                              <a:uFillTx/>
                              <a:latin typeface="Calibri"/>
                            </a:rPr>
                            <a:t>Development of innovative model of care in ophthalmology</a:t>
                          </a:r>
                          <a:endParaRPr lang="en-GB" sz="1000" b="0" i="0" u="none" strike="noStrike" kern="1200" cap="none" spc="0" baseline="0" dirty="0">
                            <a:solidFill>
                              <a:srgbClr val="000000"/>
                            </a:solidFill>
                            <a:uFillTx/>
                            <a:latin typeface="Calibri"/>
                          </a:endParaRPr>
                        </a:p>
                      </a:txBody>
                      <a:useSpRect/>
                    </a:txSp>
                  </a:sp>
                  <a:sp>
                    <a:nvSpPr>
                      <a:cNvPr id="32" name="Rectangle 47"/>
                      <a:cNvSpPr/>
                    </a:nvSpPr>
                    <a:spPr>
                      <a:xfrm>
                        <a:off x="7524332" y="3789035"/>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dirty="0" smtClean="0">
                              <a:solidFill>
                                <a:srgbClr val="000000"/>
                              </a:solidFill>
                              <a:latin typeface="Calibri"/>
                            </a:rPr>
                            <a:t>New model of cataract surgery supported by workforce redesign</a:t>
                          </a:r>
                          <a:endParaRPr lang="en-GB" sz="1100" b="0" i="0" u="none" strike="noStrike" kern="1200" cap="none" spc="0" baseline="0" dirty="0">
                            <a:solidFill>
                              <a:srgbClr val="000000"/>
                            </a:solidFill>
                            <a:uFillTx/>
                            <a:latin typeface="Calibri"/>
                          </a:endParaRPr>
                        </a:p>
                      </a:txBody>
                      <a:useSpRect/>
                    </a:txSp>
                  </a:sp>
                  <a:sp>
                    <a:nvSpPr>
                      <a:cNvPr id="33" name="Rectangle 48"/>
                      <a:cNvSpPr/>
                    </a:nvSpPr>
                    <a:spPr>
                      <a:xfrm>
                        <a:off x="7524332" y="4869161"/>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dirty="0" smtClean="0">
                              <a:solidFill>
                                <a:srgbClr val="000000"/>
                              </a:solidFill>
                              <a:uFillTx/>
                              <a:latin typeface="Calibri"/>
                            </a:rPr>
                            <a:t>Expansion of GJNH theatre</a:t>
                          </a:r>
                          <a:r>
                            <a:rPr lang="en-GB" sz="1200" b="0" i="0" u="none" strike="noStrike" kern="1200" cap="none" spc="0" dirty="0" smtClean="0">
                              <a:solidFill>
                                <a:srgbClr val="000000"/>
                              </a:solidFill>
                              <a:uFillTx/>
                              <a:latin typeface="Calibri"/>
                            </a:rPr>
                            <a:t> capacity</a:t>
                          </a:r>
                          <a:endParaRPr lang="en-GB" sz="1200" b="0" i="0" u="none" strike="noStrike" kern="1200" cap="none" spc="0" baseline="0" dirty="0">
                            <a:solidFill>
                              <a:srgbClr val="000000"/>
                            </a:solidFill>
                            <a:uFillTx/>
                            <a:latin typeface="Calibri"/>
                          </a:endParaRPr>
                        </a:p>
                      </a:txBody>
                      <a:useSpRect/>
                    </a:txSp>
                  </a:sp>
                  <a:sp>
                    <a:nvSpPr>
                      <a:cNvPr id="34" name="Rectangle 49"/>
                      <a:cNvSpPr/>
                    </a:nvSpPr>
                    <a:spPr>
                      <a:xfrm>
                        <a:off x="7524332" y="6021287"/>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kern="0" dirty="0" smtClean="0">
                              <a:solidFill>
                                <a:srgbClr val="000000"/>
                              </a:solidFill>
                              <a:latin typeface="Calibri"/>
                            </a:rPr>
                            <a:t>C ? £M</a:t>
                          </a:r>
                          <a:r>
                            <a:rPr lang="en-GB" sz="1200" b="0" i="0" u="none" strike="noStrike" kern="1200" cap="none" spc="0" baseline="0" dirty="0" smtClean="0">
                              <a:solidFill>
                                <a:srgbClr val="000000"/>
                              </a:solidFill>
                              <a:uFillTx/>
                              <a:latin typeface="Calibri"/>
                            </a:rPr>
                            <a:t> investment</a:t>
                          </a:r>
                          <a:endParaRPr lang="en-GB" sz="1200" b="0" i="0" u="none" strike="noStrike" kern="1200" cap="none" spc="0" baseline="0" dirty="0">
                            <a:solidFill>
                              <a:srgbClr val="000000"/>
                            </a:solidFill>
                            <a:uFillTx/>
                            <a:latin typeface="Calibri"/>
                          </a:endParaRPr>
                        </a:p>
                      </a:txBody>
                      <a:useSpRect/>
                    </a:txSp>
                  </a:sp>
                  <a:sp>
                    <a:nvSpPr>
                      <a:cNvPr id="35" name="TextBox 50"/>
                      <a:cNvSpPr txBox="1"/>
                    </a:nvSpPr>
                    <a:spPr>
                      <a:xfrm>
                        <a:off x="7524332" y="1462747"/>
                        <a:ext cx="1440161"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dirty="0">
                              <a:solidFill>
                                <a:srgbClr val="000000"/>
                              </a:solidFill>
                              <a:uFillTx/>
                              <a:latin typeface="Calibri"/>
                            </a:rPr>
                            <a:t>Service Scope / Size</a:t>
                          </a:r>
                        </a:p>
                      </a:txBody>
                      <a:useSpRect/>
                    </a:txSp>
                  </a:sp>
                  <a:sp>
                    <a:nvSpPr>
                      <a:cNvPr id="36" name="TextBox 51"/>
                      <a:cNvSpPr txBox="1"/>
                    </a:nvSpPr>
                    <a:spPr>
                      <a:xfrm>
                        <a:off x="7452323" y="2553900"/>
                        <a:ext cx="1512170"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Service Arrangement</a:t>
                          </a:r>
                        </a:p>
                      </a:txBody>
                      <a:useSpRect/>
                    </a:txSp>
                  </a:sp>
                  <a:sp>
                    <a:nvSpPr>
                      <a:cNvPr id="37" name="TextBox 52"/>
                      <a:cNvSpPr txBox="1"/>
                    </a:nvSpPr>
                    <a:spPr>
                      <a:xfrm>
                        <a:off x="7596332" y="3561999"/>
                        <a:ext cx="1368152"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Service Providers</a:t>
                          </a:r>
                        </a:p>
                      </a:txBody>
                      <a:useSpRect/>
                    </a:txSp>
                  </a:sp>
                  <a:sp>
                    <a:nvSpPr>
                      <a:cNvPr id="38" name="TextBox 53"/>
                      <a:cNvSpPr txBox="1"/>
                    </a:nvSpPr>
                    <a:spPr>
                      <a:xfrm>
                        <a:off x="7524332" y="4631097"/>
                        <a:ext cx="1512170"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Impact on Assets</a:t>
                          </a:r>
                        </a:p>
                      </a:txBody>
                      <a:useSpRect/>
                    </a:txSp>
                  </a:sp>
                  <a:sp>
                    <a:nvSpPr>
                      <a:cNvPr id="39" name="TextBox 54"/>
                      <a:cNvSpPr txBox="1"/>
                    </a:nvSpPr>
                    <a:spPr>
                      <a:xfrm>
                        <a:off x="7308305" y="5772232"/>
                        <a:ext cx="1835694"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Value &amp; Procurement</a:t>
                          </a:r>
                        </a:p>
                      </a:txBody>
                      <a:useSpRect/>
                    </a:txSp>
                  </a:sp>
                  <a:sp>
                    <a:nvSpPr>
                      <a:cNvPr id="40" name="TextBox 55"/>
                      <a:cNvSpPr txBox="1"/>
                    </a:nvSpPr>
                    <a:spPr>
                      <a:xfrm>
                        <a:off x="1547667" y="1310572"/>
                        <a:ext cx="1008107" cy="246220"/>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b="0" i="0" u="none" strike="noStrike" kern="1200" cap="none" spc="0" baseline="0" dirty="0">
                              <a:solidFill>
                                <a:srgbClr val="000000"/>
                              </a:solidFill>
                              <a:uFillTx/>
                              <a:latin typeface="Calibri"/>
                            </a:rPr>
                            <a:t>Identify  Links</a:t>
                          </a:r>
                        </a:p>
                      </a:txBody>
                      <a:useSpRect/>
                    </a:txSp>
                  </a:sp>
                  <a:sp>
                    <a:nvSpPr>
                      <a:cNvPr id="41" name="TextBox 56"/>
                      <a:cNvSpPr txBox="1"/>
                    </a:nvSpPr>
                    <a:spPr>
                      <a:xfrm>
                        <a:off x="4355973" y="1268757"/>
                        <a:ext cx="936107" cy="246220"/>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b="0" i="0" u="none" strike="noStrike" kern="1200" cap="none" spc="0" baseline="0">
                              <a:solidFill>
                                <a:srgbClr val="000000"/>
                              </a:solidFill>
                              <a:uFillTx/>
                              <a:latin typeface="Calibri"/>
                            </a:rPr>
                            <a:t>Identify  Links</a:t>
                          </a:r>
                        </a:p>
                      </a:txBody>
                      <a:useSpRect/>
                    </a:txSp>
                  </a:sp>
                  <a:cxnSp>
                    <a:nvCxnSpPr>
                      <a:cNvPr id="42" name="Straight Connector 58"/>
                      <a:cNvCxnSpPr/>
                    </a:nvCxnSpPr>
                    <a:spPr>
                      <a:xfrm flipV="1">
                        <a:off x="7308305" y="1329747"/>
                        <a:ext cx="0" cy="5517234"/>
                      </a:xfrm>
                      <a:prstGeom prst="straightConnector1">
                        <a:avLst/>
                      </a:prstGeom>
                      <a:noFill/>
                      <a:ln w="25402">
                        <a:solidFill>
                          <a:srgbClr val="FF0000"/>
                        </a:solidFill>
                        <a:prstDash val="solid"/>
                      </a:ln>
                    </a:spPr>
                  </a:cxnSp>
                  <a:sp>
                    <a:nvSpPr>
                      <a:cNvPr id="43" name="Rectangle 70"/>
                      <a:cNvSpPr/>
                    </a:nvSpPr>
                    <a:spPr>
                      <a:xfrm>
                        <a:off x="3419874" y="0"/>
                        <a:ext cx="5724125" cy="692694"/>
                      </a:xfrm>
                      <a:prstGeom prst="rect">
                        <a:avLst/>
                      </a:prstGeom>
                      <a:noFill/>
                      <a:ln w="25402">
                        <a:solidFill>
                          <a:srgbClr val="FF0000"/>
                        </a:solidFill>
                        <a:prstDash val="solid"/>
                        <a:miter/>
                      </a:ln>
                    </a:spPr>
                    <a:txSp>
                      <a:txBody>
                        <a:bodyPr vert="horz" wrap="square" lIns="91440" tIns="45720" rIns="91440" bIns="45720" anchor="t" anchorCtr="0"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800" b="1" i="0" u="none" strike="noStrike" kern="1200" cap="none" spc="0" baseline="0" dirty="0">
                              <a:solidFill>
                                <a:srgbClr val="000000"/>
                              </a:solidFill>
                              <a:uFillTx/>
                              <a:latin typeface="Calibri"/>
                            </a:rPr>
                            <a:t>What are the Current Arrangements</a:t>
                          </a:r>
                          <a:r>
                            <a:rPr lang="en-GB" sz="800" b="1" i="0" u="none" strike="noStrike" kern="1200" cap="none" spc="0" baseline="0" dirty="0" smtClean="0">
                              <a:solidFill>
                                <a:srgbClr val="000000"/>
                              </a:solidFill>
                              <a:uFillTx/>
                              <a:latin typeface="Calibri"/>
                            </a:rPr>
                            <a:t>: During</a:t>
                          </a:r>
                          <a:r>
                            <a:rPr lang="en-GB" sz="800" b="1" i="0" u="none" strike="noStrike" kern="1200" cap="none" spc="0" dirty="0" smtClean="0">
                              <a:solidFill>
                                <a:srgbClr val="000000"/>
                              </a:solidFill>
                              <a:uFillTx/>
                              <a:latin typeface="Calibri"/>
                            </a:rPr>
                            <a:t> 2016/17, GJNH is planning to carry out over 6000 ophthalmology (cataract) procedures</a:t>
                          </a:r>
                          <a:r>
                            <a:rPr lang="en-GB" sz="800" b="1" i="0" u="none" strike="noStrike" kern="1200" cap="none" spc="0" baseline="0" dirty="0" smtClean="0">
                              <a:solidFill>
                                <a:srgbClr val="000000"/>
                              </a:solidFill>
                              <a:uFillTx/>
                              <a:latin typeface="Calibri"/>
                            </a:rPr>
                            <a:t> .  We are also developing a new care model in Ophthalmology </a:t>
                          </a:r>
                          <a:r>
                            <a:rPr lang="en-GB" sz="800" b="1" kern="0" dirty="0" smtClean="0">
                              <a:solidFill>
                                <a:srgbClr val="000000"/>
                              </a:solidFill>
                              <a:latin typeface="Calibri"/>
                            </a:rPr>
                            <a:t>and the creation of an integrated unit will facilitate a potential 30% increase in outpatient capacity and better flow in theatre. </a:t>
                          </a:r>
                          <a:r>
                            <a:rPr lang="en-GB" sz="800" b="1" i="0" u="none" strike="noStrike" kern="1200" cap="none" spc="0" baseline="0" dirty="0" smtClean="0">
                              <a:solidFill>
                                <a:srgbClr val="000000"/>
                              </a:solidFill>
                              <a:uFillTx/>
                              <a:latin typeface="Calibri"/>
                            </a:rPr>
                            <a:t>There</a:t>
                          </a:r>
                          <a:r>
                            <a:rPr lang="en-GB" sz="800" b="1" i="0" u="none" strike="noStrike" kern="1200" cap="none" spc="0" dirty="0" smtClean="0">
                              <a:solidFill>
                                <a:srgbClr val="000000"/>
                              </a:solidFill>
                              <a:uFillTx/>
                              <a:latin typeface="Calibri"/>
                            </a:rPr>
                            <a:t> is currently an unmet need for day case general surgery procedures and the relocation of eye theatres will release capacity within the main theatre department</a:t>
                          </a:r>
                          <a:endParaRPr lang="en-GB" sz="800" b="1" i="0" u="none" strike="noStrike" kern="1200" cap="none" spc="0" baseline="0" dirty="0">
                            <a:solidFill>
                              <a:srgbClr val="000000"/>
                            </a:solidFill>
                            <a:uFillTx/>
                            <a:latin typeface="Calibri"/>
                          </a:endParaRPr>
                        </a:p>
                        <a:p>
                          <a:pPr marL="0" marR="0" lvl="0" indent="0" algn="l"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dirty="0">
                            <a:solidFill>
                              <a:srgbClr val="000000"/>
                            </a:solidFill>
                            <a:uFillTx/>
                            <a:latin typeface="Calibri"/>
                          </a:endParaRPr>
                        </a:p>
                      </a:txBody>
                      <a:useSpRect/>
                    </a:txSp>
                  </a:sp>
                  <a:sp>
                    <a:nvSpPr>
                      <a:cNvPr id="44" name="Rectangle 57"/>
                      <a:cNvSpPr/>
                    </a:nvSpPr>
                    <a:spPr>
                      <a:xfrm>
                        <a:off x="5220071" y="6381332"/>
                        <a:ext cx="1080116" cy="432044"/>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TOTAL SCORE</a:t>
                          </a:r>
                        </a:p>
                      </a:txBody>
                      <a:useSpRect/>
                    </a:txSp>
                  </a:sp>
                  <a:sp>
                    <a:nvSpPr>
                      <a:cNvPr id="45" name="Rectangle 59"/>
                      <a:cNvSpPr/>
                    </a:nvSpPr>
                    <a:spPr>
                      <a:xfrm>
                        <a:off x="6516215" y="6417332"/>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lc:lockedCanvas>
              </a:graphicData>
            </a:graphic>
          </wp:inline>
        </w:drawing>
      </w:r>
      <w:r w:rsidR="001F29F1" w:rsidRPr="009E7671">
        <w:rPr>
          <w:rFonts w:ascii="Arial" w:hAnsi="Arial" w:cs="Arial"/>
          <w:b/>
        </w:rPr>
        <w:br w:type="page"/>
      </w:r>
    </w:p>
    <w:p w:rsidR="001F29F1" w:rsidRDefault="001F29F1" w:rsidP="001F29F1">
      <w:pPr>
        <w:rPr>
          <w:rFonts w:ascii="Arial" w:hAnsi="Arial" w:cs="Arial"/>
          <w:b/>
        </w:rPr>
      </w:pPr>
      <w:r w:rsidRPr="009E7671">
        <w:rPr>
          <w:rFonts w:ascii="Arial" w:hAnsi="Arial" w:cs="Arial"/>
          <w:b/>
        </w:rPr>
        <w:lastRenderedPageBreak/>
        <w:t>Strategic Assessment – Phase Two</w:t>
      </w:r>
    </w:p>
    <w:p w:rsidR="00AD2955" w:rsidRPr="009E7671" w:rsidRDefault="00AD2955" w:rsidP="001F29F1">
      <w:pPr>
        <w:rPr>
          <w:rFonts w:ascii="Arial" w:hAnsi="Arial" w:cs="Arial"/>
          <w:b/>
        </w:rPr>
      </w:pPr>
    </w:p>
    <w:p w:rsidR="001F29F1" w:rsidRPr="009E7671" w:rsidRDefault="001F29F1" w:rsidP="001F29F1">
      <w:pPr>
        <w:rPr>
          <w:rFonts w:ascii="Arial" w:hAnsi="Arial" w:cs="Arial"/>
          <w:b/>
        </w:rPr>
      </w:pPr>
    </w:p>
    <w:p w:rsidR="001F29F1" w:rsidRPr="009E7671" w:rsidRDefault="00AD2955">
      <w:pPr>
        <w:rPr>
          <w:rFonts w:ascii="Arial" w:hAnsi="Arial" w:cs="Arial"/>
          <w:b/>
          <w:bCs/>
          <w:iCs/>
        </w:rPr>
      </w:pPr>
      <w:r w:rsidRPr="00AD2955">
        <w:rPr>
          <w:rFonts w:ascii="Arial" w:hAnsi="Arial" w:cs="Arial"/>
          <w:b/>
          <w:bCs/>
          <w:iCs/>
          <w:noProof/>
          <w:lang w:eastAsia="en-GB"/>
        </w:rPr>
        <w:drawing>
          <wp:inline distT="0" distB="0" distL="0" distR="0">
            <wp:extent cx="5448300" cy="6096000"/>
            <wp:effectExtent l="0" t="0" r="0" b="0"/>
            <wp:docPr id="5"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90304" cy="6858000"/>
                      <a:chOff x="-73152" y="0"/>
                      <a:chExt cx="9290304" cy="6858000"/>
                    </a:xfrm>
                  </a:grpSpPr>
                  <a:sp>
                    <a:nvSpPr>
                      <a:cNvPr id="2" name="Rectangle 62"/>
                      <a:cNvSpPr/>
                    </a:nvSpPr>
                    <a:spPr>
                      <a:xfrm>
                        <a:off x="0" y="692694"/>
                        <a:ext cx="9144000" cy="6165305"/>
                      </a:xfrm>
                      <a:prstGeom prst="rect">
                        <a:avLst/>
                      </a:prstGeom>
                      <a:noFill/>
                      <a:ln w="25402">
                        <a:solidFill>
                          <a:srgbClr val="385D8A"/>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800" b="0" i="0" u="none" strike="noStrike" kern="1200" cap="none" spc="0" baseline="0">
                            <a:solidFill>
                              <a:srgbClr val="FFFFFF"/>
                            </a:solidFill>
                            <a:uFillTx/>
                            <a:latin typeface="Calibri"/>
                          </a:endParaRPr>
                        </a:p>
                      </a:txBody>
                      <a:useSpRect/>
                    </a:txSp>
                  </a:sp>
                  <a:sp>
                    <a:nvSpPr>
                      <a:cNvPr id="3" name="Rectangle 4"/>
                      <a:cNvSpPr/>
                    </a:nvSpPr>
                    <a:spPr>
                      <a:xfrm>
                        <a:off x="0" y="0"/>
                        <a:ext cx="827586" cy="6858000"/>
                      </a:xfrm>
                      <a:prstGeom prst="rect">
                        <a:avLst/>
                      </a:prstGeom>
                      <a:solidFill>
                        <a:srgbClr val="FF0000">
                          <a:alpha val="25000"/>
                        </a:srgbClr>
                      </a:solidFill>
                      <a:ln>
                        <a:no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800" b="0" i="0" u="none" strike="noStrike" kern="1200" cap="none" spc="0" baseline="0">
                            <a:solidFill>
                              <a:srgbClr val="FFFFFF"/>
                            </a:solidFill>
                            <a:uFillTx/>
                            <a:latin typeface="Calibri"/>
                          </a:endParaRPr>
                        </a:p>
                      </a:txBody>
                      <a:useSpRect/>
                    </a:txSp>
                  </a:sp>
                  <a:sp>
                    <a:nvSpPr>
                      <a:cNvPr id="4" name="Rectangle 3"/>
                      <a:cNvSpPr/>
                    </a:nvSpPr>
                    <a:spPr>
                      <a:xfrm>
                        <a:off x="0" y="0"/>
                        <a:ext cx="3491883" cy="692694"/>
                      </a:xfrm>
                      <a:prstGeom prst="rect">
                        <a:avLst/>
                      </a:prstGeom>
                      <a:solidFill>
                        <a:srgbClr val="FF0000"/>
                      </a:solidFill>
                      <a:ln>
                        <a:no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400" b="0" i="0" u="none" strike="noStrike" kern="1200" cap="none" spc="0" baseline="0" dirty="0" smtClean="0">
                              <a:solidFill>
                                <a:srgbClr val="FFFFFF"/>
                              </a:solidFill>
                              <a:uFillTx/>
                              <a:latin typeface="Calibri"/>
                            </a:rPr>
                            <a:t>Golden Jubilee Elective Care Centre</a:t>
                          </a:r>
                          <a:endParaRPr lang="en-GB" sz="1400" b="0" i="0" u="none" strike="noStrike" kern="1200" cap="none" spc="0" baseline="0" dirty="0">
                            <a:solidFill>
                              <a:srgbClr val="FFFFFF"/>
                            </a:solidFill>
                            <a:uFillTx/>
                            <a:latin typeface="Calibri"/>
                          </a:endParaRPr>
                        </a:p>
                      </a:txBody>
                      <a:useSpRect/>
                    </a:txSp>
                  </a:sp>
                  <a:sp>
                    <a:nvSpPr>
                      <a:cNvPr id="5" name="TextBox 11"/>
                      <a:cNvSpPr txBox="1"/>
                    </a:nvSpPr>
                    <a:spPr>
                      <a:xfrm>
                        <a:off x="179515" y="0"/>
                        <a:ext cx="3312368" cy="646331"/>
                      </a:xfrm>
                      <a:prstGeom prst="rect">
                        <a:avLst/>
                      </a:prstGeom>
                      <a:noFill/>
                      <a:ln>
                        <a:noFill/>
                      </a:ln>
                    </a:spPr>
                    <a:txSp>
                      <a:txBody>
                        <a:bodyPr vert="horz" wrap="square" lIns="91440" tIns="45720" rIns="91440" bIns="45720" anchor="t" anchorCtr="0"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800" b="0" i="0" u="none" strike="noStrike" kern="1200" cap="none" spc="0" baseline="0" dirty="0">
                              <a:solidFill>
                                <a:srgbClr val="FFFFFF"/>
                              </a:solidFill>
                              <a:uFillTx/>
                              <a:latin typeface="Calibri"/>
                            </a:rPr>
                            <a:t>PROJECT</a:t>
                          </a:r>
                          <a:r>
                            <a:rPr lang="en-GB" sz="1800" b="0" i="0" u="none" strike="noStrike" kern="1200" cap="none" spc="0" baseline="0" dirty="0" smtClean="0">
                              <a:solidFill>
                                <a:srgbClr val="FFFFFF"/>
                              </a:solidFill>
                              <a:uFillTx/>
                              <a:latin typeface="Calibri"/>
                            </a:rPr>
                            <a:t>:</a:t>
                          </a:r>
                        </a:p>
                        <a:p>
                          <a:pPr marL="0" marR="0" lvl="0" indent="0" algn="l"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800" b="0" i="0" u="none" strike="noStrike" kern="1200" cap="none" spc="0" baseline="0" dirty="0" smtClean="0">
                              <a:solidFill>
                                <a:srgbClr val="FFFFFF"/>
                              </a:solidFill>
                              <a:uFillTx/>
                              <a:latin typeface="Calibri"/>
                            </a:rPr>
                            <a:t>  </a:t>
                          </a:r>
                          <a:endParaRPr lang="en-GB" sz="1800" b="0" i="0" u="none" strike="noStrike" kern="1200" cap="none" spc="0" baseline="0" dirty="0">
                            <a:solidFill>
                              <a:srgbClr val="FFFFFF"/>
                            </a:solidFill>
                            <a:uFillTx/>
                            <a:latin typeface="Calibri"/>
                          </a:endParaRPr>
                        </a:p>
                      </a:txBody>
                      <a:useSpRect/>
                    </a:txSp>
                  </a:sp>
                  <a:pic>
                    <a:nvPicPr>
                      <a:cNvPr id="6" name="Picture 60"/>
                      <a:cNvPicPr>
                        <a:picLocks noChangeAspect="1"/>
                      </a:cNvPicPr>
                    </a:nvPicPr>
                    <a:blipFill>
                      <a:blip r:embed="rId19" cstate="print"/>
                      <a:stretch>
                        <a:fillRect/>
                      </a:stretch>
                    </a:blipFill>
                    <a:spPr>
                      <a:xfrm>
                        <a:off x="-73152" y="627891"/>
                        <a:ext cx="9290304" cy="786384"/>
                      </a:xfrm>
                      <a:prstGeom prst="rect">
                        <a:avLst/>
                      </a:prstGeom>
                      <a:noFill/>
                      <a:ln>
                        <a:noFill/>
                      </a:ln>
                    </a:spPr>
                  </a:pic>
                  <a:sp>
                    <a:nvSpPr>
                      <a:cNvPr id="7" name="Rectangle 14"/>
                      <a:cNvSpPr/>
                    </a:nvSpPr>
                    <a:spPr>
                      <a:xfrm>
                        <a:off x="251524" y="2708919"/>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uFillTx/>
                              <a:latin typeface="Calibri"/>
                            </a:rPr>
                            <a:t>Elective capacity</a:t>
                          </a:r>
                          <a:r>
                            <a:rPr lang="en-GB" sz="900" b="0" i="0" u="none" strike="noStrike" kern="1200" cap="none" spc="0" dirty="0" smtClean="0">
                              <a:uFillTx/>
                              <a:latin typeface="Calibri"/>
                            </a:rPr>
                            <a:t> growth has not kept pace with activity levels to keep waiting times down</a:t>
                          </a:r>
                          <a:r>
                            <a:rPr lang="en-GB" sz="900" b="0" i="0" u="none" strike="noStrike" kern="1200" cap="none" spc="0" baseline="0" dirty="0" smtClean="0">
                              <a:uFillTx/>
                              <a:latin typeface="Calibri"/>
                            </a:rPr>
                            <a:t> </a:t>
                          </a:r>
                          <a:endParaRPr lang="en-GB" sz="900" b="0" i="0" u="none" strike="noStrike" kern="1200" cap="none" spc="0" baseline="0" dirty="0">
                            <a:uFillTx/>
                            <a:latin typeface="Calibri"/>
                          </a:endParaRPr>
                        </a:p>
                      </a:txBody>
                      <a:useSpRect/>
                    </a:txSp>
                  </a:sp>
                  <a:sp>
                    <a:nvSpPr>
                      <a:cNvPr id="8" name="Rectangle 13"/>
                      <a:cNvSpPr/>
                    </a:nvSpPr>
                    <a:spPr>
                      <a:xfrm>
                        <a:off x="251524" y="1628802"/>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solidFill>
                                <a:srgbClr val="000000"/>
                              </a:solidFill>
                              <a:uFillTx/>
                              <a:latin typeface="Calibri"/>
                            </a:rPr>
                            <a:t>Increasing</a:t>
                          </a:r>
                          <a:r>
                            <a:rPr lang="en-GB" sz="900" b="0" i="0" u="none" strike="noStrike" kern="1200" cap="none" spc="0" dirty="0" smtClean="0">
                              <a:solidFill>
                                <a:srgbClr val="000000"/>
                              </a:solidFill>
                              <a:uFillTx/>
                              <a:latin typeface="Calibri"/>
                            </a:rPr>
                            <a:t> demand for hip and knee replacements and cataract surgery from an expanding elderly population</a:t>
                          </a:r>
                          <a:endParaRPr lang="en-GB" sz="900" b="0" i="0" u="none" strike="noStrike" kern="1200" cap="none" spc="0" baseline="0" dirty="0">
                            <a:solidFill>
                              <a:srgbClr val="000000"/>
                            </a:solidFill>
                            <a:uFillTx/>
                            <a:latin typeface="Calibri"/>
                          </a:endParaRPr>
                        </a:p>
                      </a:txBody>
                      <a:useSpRect/>
                    </a:txSp>
                  </a:sp>
                  <a:sp>
                    <a:nvSpPr>
                      <a:cNvPr id="9" name="Rectangle 15"/>
                      <a:cNvSpPr/>
                    </a:nvSpPr>
                    <a:spPr>
                      <a:xfrm>
                        <a:off x="251524" y="3789035"/>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uFillTx/>
                              <a:latin typeface="Calibri"/>
                            </a:rPr>
                            <a:t>To meet demand, use of the private</a:t>
                          </a:r>
                          <a:r>
                            <a:rPr lang="en-GB" sz="900" b="0" i="0" u="none" strike="noStrike" kern="1200" cap="none" spc="0" dirty="0" smtClean="0">
                              <a:uFillTx/>
                              <a:latin typeface="Calibri"/>
                            </a:rPr>
                            <a:t> sector has significantly grown over the past 5 years</a:t>
                          </a:r>
                          <a:r>
                            <a:rPr lang="en-GB" sz="900" b="0" i="0" u="none" strike="noStrike" kern="1200" cap="none" spc="0" baseline="0" dirty="0" smtClean="0">
                              <a:uFillTx/>
                              <a:latin typeface="Calibri"/>
                            </a:rPr>
                            <a:t> </a:t>
                          </a:r>
                          <a:endParaRPr lang="en-GB" sz="900" b="0" i="0" u="none" strike="noStrike" kern="1200" cap="none" spc="0" baseline="0" dirty="0">
                            <a:uFillTx/>
                            <a:latin typeface="Calibri"/>
                          </a:endParaRPr>
                        </a:p>
                      </a:txBody>
                      <a:useSpRect/>
                    </a:txSp>
                  </a:sp>
                  <a:sp>
                    <a:nvSpPr>
                      <a:cNvPr id="10" name="Rectangle 16"/>
                      <a:cNvSpPr/>
                    </a:nvSpPr>
                    <a:spPr>
                      <a:xfrm>
                        <a:off x="251524" y="4869161"/>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uFillTx/>
                              <a:latin typeface="Calibri"/>
                            </a:rPr>
                            <a:t>GJNH has increased</a:t>
                          </a:r>
                          <a:r>
                            <a:rPr lang="en-GB" sz="900" b="0" i="0" u="none" strike="noStrike" kern="1200" cap="none" spc="0" dirty="0" smtClean="0">
                              <a:uFillTx/>
                              <a:latin typeface="Calibri"/>
                            </a:rPr>
                            <a:t> its capacity year on year but now has limited options to expand further within the existing footprint</a:t>
                          </a:r>
                          <a:endParaRPr lang="en-GB" sz="900" b="0" i="0" u="none" strike="noStrike" kern="1200" cap="none" spc="0" baseline="0" dirty="0">
                            <a:uFillTx/>
                            <a:latin typeface="Calibri"/>
                          </a:endParaRPr>
                        </a:p>
                      </a:txBody>
                      <a:useSpRect/>
                    </a:txSp>
                  </a:sp>
                  <a:sp>
                    <a:nvSpPr>
                      <a:cNvPr id="11" name="Rectangle 17"/>
                      <a:cNvSpPr/>
                    </a:nvSpPr>
                    <a:spPr>
                      <a:xfrm>
                        <a:off x="251524" y="5949278"/>
                        <a:ext cx="1584179"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0" i="0" u="none" strike="noStrike" kern="1200" cap="none" spc="0" baseline="0" dirty="0" smtClean="0">
                              <a:uFillTx/>
                              <a:latin typeface="Calibri"/>
                            </a:rPr>
                            <a:t>The National Clinical Strategy supports the move</a:t>
                          </a:r>
                          <a:r>
                            <a:rPr lang="en-GB" sz="900" b="0" i="0" u="none" strike="noStrike" kern="1200" cap="none" spc="0" dirty="0" smtClean="0">
                              <a:uFillTx/>
                              <a:latin typeface="Calibri"/>
                            </a:rPr>
                            <a:t> to centralise complex and high volume surgeries within specialist centres</a:t>
                          </a:r>
                          <a:endParaRPr lang="en-GB" sz="900" b="0" i="0" u="none" strike="noStrike" kern="1200" cap="none" spc="0" baseline="0" dirty="0">
                            <a:uFillTx/>
                            <a:latin typeface="Calibri"/>
                          </a:endParaRPr>
                        </a:p>
                      </a:txBody>
                      <a:useSpRect/>
                    </a:txSp>
                  </a:sp>
                  <a:sp>
                    <a:nvSpPr>
                      <a:cNvPr id="12" name="Rectangle 21"/>
                      <a:cNvSpPr/>
                    </a:nvSpPr>
                    <a:spPr>
                      <a:xfrm>
                        <a:off x="2555775" y="1412775"/>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uFillTx/>
                              <a:latin typeface="Calibri"/>
                            </a:rPr>
                            <a:t>Additional capacity</a:t>
                          </a:r>
                          <a:r>
                            <a:rPr lang="en-GB" sz="1100" b="0" i="0" u="none" strike="noStrike" kern="1200" cap="none" spc="0" dirty="0" smtClean="0">
                              <a:uFillTx/>
                              <a:latin typeface="Calibri"/>
                            </a:rPr>
                            <a:t> to meet long term demand will be created</a:t>
                          </a:r>
                          <a:endParaRPr lang="en-GB" sz="1100" b="0" i="0" u="none" strike="noStrike" kern="1200" cap="none" spc="0" baseline="0" dirty="0">
                            <a:uFillTx/>
                            <a:latin typeface="Calibri"/>
                          </a:endParaRPr>
                        </a:p>
                      </a:txBody>
                      <a:useSpRect/>
                    </a:txSp>
                  </a:sp>
                  <a:sp>
                    <a:nvSpPr>
                      <a:cNvPr id="13" name="Rectangle 22"/>
                      <a:cNvSpPr/>
                    </a:nvSpPr>
                    <a:spPr>
                      <a:xfrm>
                        <a:off x="2555775" y="3753035"/>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uFillTx/>
                              <a:latin typeface="Calibri"/>
                            </a:rPr>
                            <a:t>Cancellations of elective surgery across the </a:t>
                          </a:r>
                          <a:r>
                            <a:rPr lang="en-GB" sz="1100" dirty="0" smtClean="0">
                              <a:latin typeface="Calibri"/>
                            </a:rPr>
                            <a:t>West of Scotland </a:t>
                          </a:r>
                          <a:r>
                            <a:rPr lang="en-GB" sz="1100" b="0" i="0" u="none" strike="noStrike" kern="1200" cap="none" spc="0" baseline="0" dirty="0" smtClean="0">
                              <a:uFillTx/>
                              <a:latin typeface="Calibri"/>
                            </a:rPr>
                            <a:t>will be</a:t>
                          </a:r>
                          <a:r>
                            <a:rPr lang="en-GB" sz="1100" b="0" i="0" u="none" strike="noStrike" kern="1200" cap="none" spc="0" dirty="0" smtClean="0">
                              <a:uFillTx/>
                              <a:latin typeface="Calibri"/>
                            </a:rPr>
                            <a:t> reduced</a:t>
                          </a:r>
                          <a:endParaRPr lang="en-GB" sz="1100" b="0" i="0" u="none" strike="noStrike" kern="1200" cap="none" spc="0" baseline="0" dirty="0">
                            <a:uFillTx/>
                            <a:latin typeface="Calibri"/>
                          </a:endParaRPr>
                        </a:p>
                      </a:txBody>
                      <a:useSpRect/>
                    </a:txSp>
                  </a:sp>
                  <a:sp>
                    <a:nvSpPr>
                      <a:cNvPr id="14" name="Rectangle 23"/>
                      <a:cNvSpPr/>
                    </a:nvSpPr>
                    <a:spPr>
                      <a:xfrm>
                        <a:off x="2555775" y="4533119"/>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b="0" i="0" u="none" strike="noStrike" kern="1200" cap="none" spc="0" baseline="0" dirty="0" err="1" smtClean="0">
                              <a:solidFill>
                                <a:srgbClr val="000000"/>
                              </a:solidFill>
                              <a:uFillTx/>
                              <a:latin typeface="Calibri"/>
                            </a:rPr>
                            <a:t>WoS</a:t>
                          </a:r>
                          <a:r>
                            <a:rPr lang="en-GB" sz="1000" b="0" i="0" u="none" strike="noStrike" kern="1200" cap="none" spc="0" baseline="0" dirty="0" smtClean="0">
                              <a:solidFill>
                                <a:srgbClr val="000000"/>
                              </a:solidFill>
                              <a:uFillTx/>
                              <a:latin typeface="Calibri"/>
                            </a:rPr>
                            <a:t> will have greater</a:t>
                          </a:r>
                          <a:r>
                            <a:rPr lang="en-GB" sz="1000" b="0" i="0" u="none" strike="noStrike" kern="1200" cap="none" spc="0" dirty="0" smtClean="0">
                              <a:solidFill>
                                <a:srgbClr val="000000"/>
                              </a:solidFill>
                              <a:uFillTx/>
                              <a:latin typeface="Calibri"/>
                            </a:rPr>
                            <a:t> resilience </a:t>
                          </a:r>
                          <a:r>
                            <a:rPr lang="en-GB" sz="1000" dirty="0" smtClean="0">
                              <a:solidFill>
                                <a:srgbClr val="000000"/>
                              </a:solidFill>
                              <a:latin typeface="Calibri"/>
                            </a:rPr>
                            <a:t>to </a:t>
                          </a:r>
                          <a:r>
                            <a:rPr lang="en-GB" sz="1000" b="0" i="0" u="none" strike="noStrike" kern="1200" cap="none" spc="0" dirty="0" smtClean="0">
                              <a:solidFill>
                                <a:srgbClr val="000000"/>
                              </a:solidFill>
                              <a:uFillTx/>
                              <a:latin typeface="Calibri"/>
                            </a:rPr>
                            <a:t>deal with winter pressures and use beds and theatres more flexibly</a:t>
                          </a:r>
                          <a:endParaRPr lang="en-GB" sz="1000" b="0" i="0" u="none" strike="noStrike" kern="1200" cap="none" spc="0" baseline="0" dirty="0">
                            <a:solidFill>
                              <a:srgbClr val="000000"/>
                            </a:solidFill>
                            <a:uFillTx/>
                            <a:latin typeface="Calibri"/>
                          </a:endParaRPr>
                        </a:p>
                      </a:txBody>
                      <a:useSpRect/>
                    </a:txSp>
                  </a:sp>
                  <a:sp>
                    <a:nvSpPr>
                      <a:cNvPr id="15" name="Rectangle 24"/>
                      <a:cNvSpPr/>
                    </a:nvSpPr>
                    <a:spPr>
                      <a:xfrm>
                        <a:off x="2555775" y="5313212"/>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dirty="0" smtClean="0">
                              <a:solidFill>
                                <a:srgbClr val="000000"/>
                              </a:solidFill>
                              <a:latin typeface="Calibri"/>
                            </a:rPr>
                            <a:t>Greater separation of emergency and elective workload will improve efficiency and productivity</a:t>
                          </a:r>
                          <a:endParaRPr lang="en-GB" sz="1000" b="0" i="0" u="none" strike="noStrike" kern="1200" cap="none" spc="0" baseline="0" dirty="0">
                            <a:solidFill>
                              <a:srgbClr val="000000"/>
                            </a:solidFill>
                            <a:uFillTx/>
                            <a:latin typeface="Calibri"/>
                          </a:endParaRPr>
                        </a:p>
                      </a:txBody>
                      <a:useSpRect/>
                    </a:txSp>
                  </a:sp>
                  <a:sp>
                    <a:nvSpPr>
                      <a:cNvPr id="16" name="Rectangle 25"/>
                      <a:cNvSpPr/>
                    </a:nvSpPr>
                    <a:spPr>
                      <a:xfrm>
                        <a:off x="2555775" y="6093296"/>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solidFill>
                                <a:srgbClr val="000000"/>
                              </a:solidFill>
                              <a:uFillTx/>
                              <a:latin typeface="Calibri"/>
                            </a:rPr>
                            <a:t>Facilitates</a:t>
                          </a:r>
                          <a:r>
                            <a:rPr lang="en-GB" sz="1100" b="0" i="0" u="none" strike="noStrike" kern="1200" cap="none" spc="0" dirty="0" smtClean="0">
                              <a:solidFill>
                                <a:srgbClr val="000000"/>
                              </a:solidFill>
                              <a:uFillTx/>
                              <a:latin typeface="Calibri"/>
                            </a:rPr>
                            <a:t> the ongoing adoption and spread of best practice in delivering high quality care</a:t>
                          </a:r>
                          <a:endParaRPr lang="en-GB" sz="1100" b="0" i="0" u="none" strike="noStrike" kern="1200" cap="none" spc="0" baseline="0" dirty="0">
                            <a:solidFill>
                              <a:srgbClr val="000000"/>
                            </a:solidFill>
                            <a:uFillTx/>
                            <a:latin typeface="Calibri"/>
                          </a:endParaRPr>
                        </a:p>
                      </a:txBody>
                      <a:useSpRect/>
                    </a:txSp>
                  </a:sp>
                  <a:sp>
                    <a:nvSpPr>
                      <a:cNvPr id="17" name="Rectangle 26"/>
                      <a:cNvSpPr/>
                    </a:nvSpPr>
                    <a:spPr>
                      <a:xfrm>
                        <a:off x="2555775" y="2192859"/>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uFillTx/>
                              <a:latin typeface="Calibri"/>
                            </a:rPr>
                            <a:t>Waiting</a:t>
                          </a:r>
                          <a:r>
                            <a:rPr lang="en-GB" sz="1100" b="0" i="0" u="none" strike="noStrike" kern="1200" cap="none" spc="0" dirty="0" smtClean="0">
                              <a:uFillTx/>
                              <a:latin typeface="Calibri"/>
                            </a:rPr>
                            <a:t> time guarantees will be delivered on a more full and sustainable basis  </a:t>
                          </a:r>
                          <a:endParaRPr lang="en-GB" sz="1100" b="0" i="0" u="none" strike="noStrike" kern="1200" cap="none" spc="0" baseline="0" dirty="0">
                            <a:uFillTx/>
                            <a:latin typeface="Calibri"/>
                          </a:endParaRPr>
                        </a:p>
                      </a:txBody>
                      <a:useSpRect/>
                    </a:txSp>
                  </a:sp>
                  <a:sp>
                    <a:nvSpPr>
                      <a:cNvPr id="18" name="Rectangle 27"/>
                      <a:cNvSpPr/>
                    </a:nvSpPr>
                    <a:spPr>
                      <a:xfrm>
                        <a:off x="2555775" y="2972952"/>
                        <a:ext cx="1800197"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uFillTx/>
                              <a:latin typeface="Calibri"/>
                            </a:rPr>
                            <a:t>Private sector use will be eliminated</a:t>
                          </a:r>
                          <a:endParaRPr lang="en-GB" sz="1100" b="0" i="0" u="none" strike="noStrike" kern="1200" cap="none" spc="0" baseline="0" dirty="0">
                            <a:uFillTx/>
                            <a:latin typeface="Calibri"/>
                          </a:endParaRPr>
                        </a:p>
                      </a:txBody>
                      <a:useSpRect/>
                    </a:txSp>
                  </a:sp>
                  <a:sp>
                    <a:nvSpPr>
                      <a:cNvPr id="19" name="Rectangle 28"/>
                      <a:cNvSpPr/>
                    </a:nvSpPr>
                    <a:spPr>
                      <a:xfrm>
                        <a:off x="5220071" y="1700811"/>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Person Centred</a:t>
                          </a:r>
                        </a:p>
                      </a:txBody>
                      <a:useSpRect/>
                    </a:txSp>
                  </a:sp>
                  <a:sp>
                    <a:nvSpPr>
                      <a:cNvPr id="20" name="Rectangle 29"/>
                      <a:cNvSpPr/>
                    </a:nvSpPr>
                    <a:spPr>
                      <a:xfrm>
                        <a:off x="5220071" y="2636910"/>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dirty="0">
                              <a:solidFill>
                                <a:srgbClr val="000000"/>
                              </a:solidFill>
                              <a:uFillTx/>
                              <a:latin typeface="Calibri"/>
                            </a:rPr>
                            <a:t>Safe</a:t>
                          </a:r>
                        </a:p>
                      </a:txBody>
                      <a:useSpRect/>
                    </a:txSp>
                  </a:sp>
                  <a:sp>
                    <a:nvSpPr>
                      <a:cNvPr id="21" name="Rectangle 30"/>
                      <a:cNvSpPr/>
                    </a:nvSpPr>
                    <a:spPr>
                      <a:xfrm>
                        <a:off x="5220071" y="3573018"/>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Effective Quality of Care</a:t>
                          </a:r>
                        </a:p>
                      </a:txBody>
                      <a:useSpRect/>
                    </a:txSp>
                  </a:sp>
                  <a:sp>
                    <a:nvSpPr>
                      <a:cNvPr id="22" name="Rectangle 31"/>
                      <a:cNvSpPr/>
                    </a:nvSpPr>
                    <a:spPr>
                      <a:xfrm>
                        <a:off x="5220071" y="4581125"/>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Health of Population</a:t>
                          </a:r>
                        </a:p>
                      </a:txBody>
                      <a:useSpRect/>
                    </a:txSp>
                  </a:sp>
                  <a:sp>
                    <a:nvSpPr>
                      <a:cNvPr id="23" name="Rectangle 32"/>
                      <a:cNvSpPr/>
                    </a:nvSpPr>
                    <a:spPr>
                      <a:xfrm>
                        <a:off x="5220071" y="5589242"/>
                        <a:ext cx="1080116"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Value &amp; Sustainability</a:t>
                          </a:r>
                        </a:p>
                      </a:txBody>
                      <a:useSpRect/>
                    </a:txSp>
                  </a:sp>
                  <a:sp>
                    <a:nvSpPr>
                      <a:cNvPr id="24" name="Rectangle 34"/>
                      <a:cNvSpPr/>
                    </a:nvSpPr>
                    <a:spPr>
                      <a:xfrm>
                        <a:off x="6516215" y="1844820"/>
                        <a:ext cx="432044" cy="360035"/>
                      </a:xfrm>
                      <a:prstGeom prst="rect">
                        <a:avLst/>
                      </a:prstGeom>
                      <a:solidFill>
                        <a:srgbClr val="FFFFFF"/>
                      </a:solid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5" name="Rectangle 35"/>
                      <a:cNvSpPr/>
                    </a:nvSpPr>
                    <a:spPr>
                      <a:xfrm>
                        <a:off x="6516215" y="2780928"/>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6" name="Rectangle 38"/>
                      <a:cNvSpPr/>
                    </a:nvSpPr>
                    <a:spPr>
                      <a:xfrm>
                        <a:off x="6516215" y="3717035"/>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7" name="Rectangle 40"/>
                      <a:cNvSpPr/>
                    </a:nvSpPr>
                    <a:spPr>
                      <a:xfrm>
                        <a:off x="6516215" y="4725143"/>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8" name="Rectangle 42"/>
                      <a:cNvSpPr/>
                    </a:nvSpPr>
                    <a:spPr>
                      <a:xfrm>
                        <a:off x="6516215" y="5733260"/>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a:sp>
                    <a:nvSpPr>
                      <a:cNvPr id="29" name="TextBox 43"/>
                      <a:cNvSpPr txBox="1"/>
                    </a:nvSpPr>
                    <a:spPr>
                      <a:xfrm>
                        <a:off x="6228179" y="1340766"/>
                        <a:ext cx="1008107" cy="461662"/>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Prioritisation Score</a:t>
                          </a:r>
                        </a:p>
                      </a:txBody>
                      <a:useSpRect/>
                    </a:txSp>
                  </a:sp>
                  <a:sp>
                    <a:nvSpPr>
                      <a:cNvPr id="30" name="Rectangle 45"/>
                      <a:cNvSpPr/>
                    </a:nvSpPr>
                    <a:spPr>
                      <a:xfrm>
                        <a:off x="7524332" y="1700811"/>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b="0" i="0" u="none" strike="noStrike" kern="1200" cap="none" spc="0" baseline="0" dirty="0" smtClean="0">
                              <a:solidFill>
                                <a:srgbClr val="000000"/>
                              </a:solidFill>
                              <a:uFillTx/>
                              <a:latin typeface="Calibri"/>
                            </a:rPr>
                            <a:t>To be determined once</a:t>
                          </a:r>
                          <a:r>
                            <a:rPr lang="en-GB" sz="1000" b="0" i="0" u="none" strike="noStrike" kern="1200" cap="none" spc="0" dirty="0" smtClean="0">
                              <a:solidFill>
                                <a:srgbClr val="000000"/>
                              </a:solidFill>
                              <a:uFillTx/>
                              <a:latin typeface="Calibri"/>
                            </a:rPr>
                            <a:t> modelling is re-run to define additional capacity requirement</a:t>
                          </a:r>
                          <a:endParaRPr lang="en-GB" sz="1000" b="0" i="0" u="none" strike="noStrike" kern="1200" cap="none" spc="0" baseline="0" dirty="0">
                            <a:solidFill>
                              <a:srgbClr val="000000"/>
                            </a:solidFill>
                            <a:uFillTx/>
                            <a:latin typeface="Calibri"/>
                          </a:endParaRPr>
                        </a:p>
                      </a:txBody>
                      <a:useSpRect/>
                    </a:txSp>
                  </a:sp>
                  <a:sp>
                    <a:nvSpPr>
                      <a:cNvPr id="31" name="Rectangle 46"/>
                      <a:cNvSpPr/>
                    </a:nvSpPr>
                    <a:spPr>
                      <a:xfrm>
                        <a:off x="7524332" y="2780928"/>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dirty="0" smtClean="0">
                              <a:solidFill>
                                <a:srgbClr val="000000"/>
                              </a:solidFill>
                              <a:uFillTx/>
                              <a:latin typeface="Calibri"/>
                            </a:rPr>
                            <a:t>Development of innovative elective care centre</a:t>
                          </a:r>
                          <a:r>
                            <a:rPr lang="en-GB" sz="1200" b="0" i="0" u="none" strike="noStrike" kern="1200" cap="none" spc="0" dirty="0" smtClean="0">
                              <a:solidFill>
                                <a:srgbClr val="000000"/>
                              </a:solidFill>
                              <a:uFillTx/>
                              <a:latin typeface="Calibri"/>
                            </a:rPr>
                            <a:t> </a:t>
                          </a:r>
                          <a:endParaRPr lang="en-GB" sz="1200" b="0" i="0" u="none" strike="noStrike" kern="1200" cap="none" spc="0" baseline="0" dirty="0">
                            <a:solidFill>
                              <a:srgbClr val="000000"/>
                            </a:solidFill>
                            <a:uFillTx/>
                            <a:latin typeface="Calibri"/>
                          </a:endParaRPr>
                        </a:p>
                      </a:txBody>
                      <a:useSpRect/>
                    </a:txSp>
                  </a:sp>
                  <a:sp>
                    <a:nvSpPr>
                      <a:cNvPr id="32" name="Rectangle 47"/>
                      <a:cNvSpPr/>
                    </a:nvSpPr>
                    <a:spPr>
                      <a:xfrm>
                        <a:off x="7524332" y="3789035"/>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100" b="0" i="0" u="none" strike="noStrike" kern="1200" cap="none" spc="0" baseline="0" dirty="0" smtClean="0">
                              <a:solidFill>
                                <a:srgbClr val="000000"/>
                              </a:solidFill>
                              <a:uFillTx/>
                              <a:latin typeface="Calibri"/>
                            </a:rPr>
                            <a:t>Expanded</a:t>
                          </a:r>
                          <a:r>
                            <a:rPr lang="en-GB" sz="1100" b="0" i="0" u="none" strike="noStrike" kern="1200" cap="none" spc="0" dirty="0" smtClean="0">
                              <a:solidFill>
                                <a:srgbClr val="000000"/>
                              </a:solidFill>
                              <a:uFillTx/>
                              <a:latin typeface="Calibri"/>
                            </a:rPr>
                            <a:t> and reconfigured workforce to deliver extra NHS capacity</a:t>
                          </a:r>
                          <a:endParaRPr lang="en-GB" sz="1100" b="0" i="0" u="none" strike="noStrike" kern="1200" cap="none" spc="0" baseline="0" dirty="0">
                            <a:solidFill>
                              <a:srgbClr val="000000"/>
                            </a:solidFill>
                            <a:uFillTx/>
                            <a:latin typeface="Calibri"/>
                          </a:endParaRPr>
                        </a:p>
                      </a:txBody>
                      <a:useSpRect/>
                    </a:txSp>
                  </a:sp>
                  <a:sp>
                    <a:nvSpPr>
                      <a:cNvPr id="33" name="Rectangle 48"/>
                      <a:cNvSpPr/>
                    </a:nvSpPr>
                    <a:spPr>
                      <a:xfrm>
                        <a:off x="7524332" y="4869161"/>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dirty="0" smtClean="0">
                              <a:solidFill>
                                <a:srgbClr val="000000"/>
                              </a:solidFill>
                              <a:uFillTx/>
                              <a:latin typeface="Calibri"/>
                            </a:rPr>
                            <a:t>Expansion of GJNH site with addition of elective care</a:t>
                          </a:r>
                          <a:r>
                            <a:rPr lang="en-GB" sz="1200" b="0" i="0" u="none" strike="noStrike" kern="1200" cap="none" spc="0" dirty="0" smtClean="0">
                              <a:solidFill>
                                <a:srgbClr val="000000"/>
                              </a:solidFill>
                              <a:uFillTx/>
                              <a:latin typeface="Calibri"/>
                            </a:rPr>
                            <a:t> centre</a:t>
                          </a:r>
                          <a:endParaRPr lang="en-GB" sz="1200" b="0" i="0" u="none" strike="noStrike" kern="1200" cap="none" spc="0" baseline="0" dirty="0">
                            <a:solidFill>
                              <a:srgbClr val="000000"/>
                            </a:solidFill>
                            <a:uFillTx/>
                            <a:latin typeface="Calibri"/>
                          </a:endParaRPr>
                        </a:p>
                      </a:txBody>
                      <a:useSpRect/>
                    </a:txSp>
                  </a:sp>
                  <a:sp>
                    <a:nvSpPr>
                      <a:cNvPr id="34" name="Rectangle 49"/>
                      <a:cNvSpPr/>
                    </a:nvSpPr>
                    <a:spPr>
                      <a:xfrm>
                        <a:off x="7524332" y="6021287"/>
                        <a:ext cx="1440161" cy="648071"/>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dirty="0" smtClean="0">
                              <a:solidFill>
                                <a:srgbClr val="000000"/>
                              </a:solidFill>
                              <a:latin typeface="Calibri"/>
                            </a:rPr>
                            <a:t>c</a:t>
                          </a:r>
                          <a:r>
                            <a:rPr lang="en-GB" sz="1200" b="0" i="0" u="none" strike="noStrike" kern="1200" cap="none" spc="0" baseline="0" dirty="0" smtClean="0">
                              <a:solidFill>
                                <a:srgbClr val="000000"/>
                              </a:solidFill>
                              <a:uFillTx/>
                              <a:latin typeface="Calibri"/>
                            </a:rPr>
                            <a:t>£50M investment</a:t>
                          </a:r>
                          <a:endParaRPr lang="en-GB" sz="1200" b="0" i="0" u="none" strike="noStrike" kern="1200" cap="none" spc="0" baseline="0" dirty="0">
                            <a:solidFill>
                              <a:srgbClr val="000000"/>
                            </a:solidFill>
                            <a:uFillTx/>
                            <a:latin typeface="Calibri"/>
                          </a:endParaRPr>
                        </a:p>
                      </a:txBody>
                      <a:useSpRect/>
                    </a:txSp>
                  </a:sp>
                  <a:sp>
                    <a:nvSpPr>
                      <a:cNvPr id="35" name="TextBox 50"/>
                      <a:cNvSpPr txBox="1"/>
                    </a:nvSpPr>
                    <a:spPr>
                      <a:xfrm>
                        <a:off x="7524332" y="1462747"/>
                        <a:ext cx="1440161"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dirty="0">
                              <a:solidFill>
                                <a:srgbClr val="000000"/>
                              </a:solidFill>
                              <a:uFillTx/>
                              <a:latin typeface="Calibri"/>
                            </a:rPr>
                            <a:t>Service Scope / Size</a:t>
                          </a:r>
                        </a:p>
                      </a:txBody>
                      <a:useSpRect/>
                    </a:txSp>
                  </a:sp>
                  <a:sp>
                    <a:nvSpPr>
                      <a:cNvPr id="36" name="TextBox 51"/>
                      <a:cNvSpPr txBox="1"/>
                    </a:nvSpPr>
                    <a:spPr>
                      <a:xfrm>
                        <a:off x="7452323" y="2553900"/>
                        <a:ext cx="1512170"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Service Arrangement</a:t>
                          </a:r>
                        </a:p>
                      </a:txBody>
                      <a:useSpRect/>
                    </a:txSp>
                  </a:sp>
                  <a:sp>
                    <a:nvSpPr>
                      <a:cNvPr id="37" name="TextBox 52"/>
                      <a:cNvSpPr txBox="1"/>
                    </a:nvSpPr>
                    <a:spPr>
                      <a:xfrm>
                        <a:off x="7596332" y="3561999"/>
                        <a:ext cx="1368152"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Service Providers</a:t>
                          </a:r>
                        </a:p>
                      </a:txBody>
                      <a:useSpRect/>
                    </a:txSp>
                  </a:sp>
                  <a:sp>
                    <a:nvSpPr>
                      <a:cNvPr id="38" name="TextBox 53"/>
                      <a:cNvSpPr txBox="1"/>
                    </a:nvSpPr>
                    <a:spPr>
                      <a:xfrm>
                        <a:off x="7524332" y="4631097"/>
                        <a:ext cx="1512170"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Impact on Assets</a:t>
                          </a:r>
                        </a:p>
                      </a:txBody>
                      <a:useSpRect/>
                    </a:txSp>
                  </a:sp>
                  <a:sp>
                    <a:nvSpPr>
                      <a:cNvPr id="39" name="TextBox 54"/>
                      <a:cNvSpPr txBox="1"/>
                    </a:nvSpPr>
                    <a:spPr>
                      <a:xfrm>
                        <a:off x="7308305" y="5772232"/>
                        <a:ext cx="1835694" cy="276999"/>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Value &amp; Procurement</a:t>
                          </a:r>
                        </a:p>
                      </a:txBody>
                      <a:useSpRect/>
                    </a:txSp>
                  </a:sp>
                  <a:sp>
                    <a:nvSpPr>
                      <a:cNvPr id="40" name="TextBox 55"/>
                      <a:cNvSpPr txBox="1"/>
                    </a:nvSpPr>
                    <a:spPr>
                      <a:xfrm>
                        <a:off x="1547667" y="1310572"/>
                        <a:ext cx="1008107" cy="246220"/>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b="0" i="0" u="none" strike="noStrike" kern="1200" cap="none" spc="0" baseline="0">
                              <a:solidFill>
                                <a:srgbClr val="000000"/>
                              </a:solidFill>
                              <a:uFillTx/>
                              <a:latin typeface="Calibri"/>
                            </a:rPr>
                            <a:t>Identify  Links</a:t>
                          </a:r>
                        </a:p>
                      </a:txBody>
                      <a:useSpRect/>
                    </a:txSp>
                  </a:sp>
                  <a:sp>
                    <a:nvSpPr>
                      <a:cNvPr id="41" name="TextBox 56"/>
                      <a:cNvSpPr txBox="1"/>
                    </a:nvSpPr>
                    <a:spPr>
                      <a:xfrm>
                        <a:off x="4355973" y="1268757"/>
                        <a:ext cx="936107" cy="246220"/>
                      </a:xfrm>
                      <a:prstGeom prst="rect">
                        <a:avLst/>
                      </a:prstGeom>
                      <a:noFill/>
                      <a:ln>
                        <a:noFill/>
                      </a:ln>
                    </a:spPr>
                    <a:txSp>
                      <a:txBody>
                        <a:bodyPr vert="horz" wrap="square" lIns="91440" tIns="45720" rIns="91440" bIns="45720" anchor="t" anchorCtr="1" compatLnSpc="1">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000" b="0" i="0" u="none" strike="noStrike" kern="1200" cap="none" spc="0" baseline="0">
                              <a:solidFill>
                                <a:srgbClr val="000000"/>
                              </a:solidFill>
                              <a:uFillTx/>
                              <a:latin typeface="Calibri"/>
                            </a:rPr>
                            <a:t>Identify  Links</a:t>
                          </a:r>
                        </a:p>
                      </a:txBody>
                      <a:useSpRect/>
                    </a:txSp>
                  </a:sp>
                  <a:cxnSp>
                    <a:nvCxnSpPr>
                      <a:cNvPr id="42" name="Straight Connector 58"/>
                      <a:cNvCxnSpPr/>
                    </a:nvCxnSpPr>
                    <a:spPr>
                      <a:xfrm flipV="1">
                        <a:off x="7308305" y="1329747"/>
                        <a:ext cx="0" cy="5517234"/>
                      </a:xfrm>
                      <a:prstGeom prst="straightConnector1">
                        <a:avLst/>
                      </a:prstGeom>
                      <a:noFill/>
                      <a:ln w="25402">
                        <a:solidFill>
                          <a:srgbClr val="FF0000"/>
                        </a:solidFill>
                        <a:prstDash val="solid"/>
                      </a:ln>
                    </a:spPr>
                  </a:cxnSp>
                  <a:sp>
                    <a:nvSpPr>
                      <a:cNvPr id="43" name="Rectangle 70"/>
                      <a:cNvSpPr/>
                    </a:nvSpPr>
                    <a:spPr>
                      <a:xfrm>
                        <a:off x="3419874" y="0"/>
                        <a:ext cx="5724125" cy="692694"/>
                      </a:xfrm>
                      <a:prstGeom prst="rect">
                        <a:avLst/>
                      </a:prstGeom>
                      <a:noFill/>
                      <a:ln w="25402">
                        <a:solidFill>
                          <a:srgbClr val="FF0000"/>
                        </a:solidFill>
                        <a:prstDash val="solid"/>
                        <a:miter/>
                      </a:ln>
                    </a:spPr>
                    <a:txSp>
                      <a:txBody>
                        <a:bodyPr vert="horz" wrap="square" lIns="91440" tIns="45720" rIns="91440" bIns="45720" anchor="t" anchorCtr="0"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900" b="1" i="0" u="none" strike="noStrike" kern="1200" cap="none" spc="0" baseline="0" dirty="0">
                              <a:solidFill>
                                <a:srgbClr val="000000"/>
                              </a:solidFill>
                              <a:uFillTx/>
                              <a:latin typeface="Calibri"/>
                            </a:rPr>
                            <a:t>What are the Current Arrangements</a:t>
                          </a:r>
                          <a:r>
                            <a:rPr lang="en-GB" sz="900" b="1" i="0" u="none" strike="noStrike" kern="1200" cap="none" spc="0" baseline="0" dirty="0" smtClean="0">
                              <a:solidFill>
                                <a:srgbClr val="000000"/>
                              </a:solidFill>
                              <a:uFillTx/>
                              <a:latin typeface="Calibri"/>
                            </a:rPr>
                            <a:t>: During</a:t>
                          </a:r>
                          <a:r>
                            <a:rPr lang="en-GB" sz="900" b="1" i="0" u="none" strike="noStrike" kern="1200" cap="none" spc="0" dirty="0" smtClean="0">
                              <a:solidFill>
                                <a:srgbClr val="000000"/>
                              </a:solidFill>
                              <a:uFillTx/>
                              <a:latin typeface="Calibri"/>
                            </a:rPr>
                            <a:t> 2016/17, GJNH is planning to carry out over 5000 orthopaedic procedures and 6000 ophthalmology (cataract) procedures</a:t>
                          </a:r>
                          <a:r>
                            <a:rPr lang="en-GB" sz="900" b="1" i="0" u="none" strike="noStrike" kern="1200" cap="none" spc="0" baseline="0" dirty="0" smtClean="0">
                              <a:solidFill>
                                <a:srgbClr val="000000"/>
                              </a:solidFill>
                              <a:uFillTx/>
                              <a:latin typeface="Calibri"/>
                            </a:rPr>
                            <a:t> . However modelling of predicted</a:t>
                          </a:r>
                          <a:r>
                            <a:rPr lang="en-GB" sz="900" b="1" i="0" u="none" strike="noStrike" kern="1200" cap="none" spc="0" dirty="0" smtClean="0">
                              <a:solidFill>
                                <a:srgbClr val="000000"/>
                              </a:solidFill>
                              <a:uFillTx/>
                              <a:latin typeface="Calibri"/>
                            </a:rPr>
                            <a:t> demand until 2025 has identified that this capacity will fall significantly short of meeting </a:t>
                          </a:r>
                          <a:r>
                            <a:rPr lang="en-GB" sz="900" b="1" i="0" u="none" strike="noStrike" kern="1200" cap="none" spc="0" dirty="0" err="1" smtClean="0">
                              <a:solidFill>
                                <a:srgbClr val="000000"/>
                              </a:solidFill>
                              <a:uFillTx/>
                              <a:latin typeface="Calibri"/>
                            </a:rPr>
                            <a:t>WoS</a:t>
                          </a:r>
                          <a:r>
                            <a:rPr lang="en-GB" sz="900" b="1" i="0" u="none" strike="noStrike" kern="1200" cap="none" spc="0" dirty="0" smtClean="0">
                              <a:solidFill>
                                <a:srgbClr val="000000"/>
                              </a:solidFill>
                              <a:uFillTx/>
                              <a:latin typeface="Calibri"/>
                            </a:rPr>
                            <a:t> demand for ortho</a:t>
                          </a:r>
                          <a:r>
                            <a:rPr lang="en-GB" sz="900" b="1" dirty="0" smtClean="0">
                              <a:solidFill>
                                <a:srgbClr val="000000"/>
                              </a:solidFill>
                              <a:latin typeface="Calibri"/>
                            </a:rPr>
                            <a:t>paedic and ophthalmology surgery.</a:t>
                          </a:r>
                          <a:endParaRPr lang="en-GB" sz="900" b="1" i="0" u="none" strike="noStrike" kern="1200" cap="none" spc="0" baseline="0" dirty="0">
                            <a:solidFill>
                              <a:srgbClr val="000000"/>
                            </a:solidFill>
                            <a:uFillTx/>
                            <a:latin typeface="Calibri"/>
                          </a:endParaRPr>
                        </a:p>
                        <a:p>
                          <a:pPr marL="0" marR="0" lvl="0" indent="0" algn="l"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dirty="0">
                            <a:solidFill>
                              <a:srgbClr val="000000"/>
                            </a:solidFill>
                            <a:uFillTx/>
                            <a:latin typeface="Calibri"/>
                          </a:endParaRPr>
                        </a:p>
                      </a:txBody>
                      <a:useSpRect/>
                    </a:txSp>
                  </a:sp>
                  <a:sp>
                    <a:nvSpPr>
                      <a:cNvPr id="44" name="Rectangle 57"/>
                      <a:cNvSpPr/>
                    </a:nvSpPr>
                    <a:spPr>
                      <a:xfrm>
                        <a:off x="5220071" y="6381332"/>
                        <a:ext cx="1080116" cy="432044"/>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r>
                            <a:rPr lang="en-GB" sz="1200" b="0" i="0" u="none" strike="noStrike" kern="1200" cap="none" spc="0" baseline="0">
                              <a:solidFill>
                                <a:srgbClr val="000000"/>
                              </a:solidFill>
                              <a:uFillTx/>
                              <a:latin typeface="Calibri"/>
                            </a:rPr>
                            <a:t>TOTAL SCORE</a:t>
                          </a:r>
                        </a:p>
                      </a:txBody>
                      <a:useSpRect/>
                    </a:txSp>
                  </a:sp>
                  <a:sp>
                    <a:nvSpPr>
                      <a:cNvPr id="45" name="Rectangle 59"/>
                      <a:cNvSpPr/>
                    </a:nvSpPr>
                    <a:spPr>
                      <a:xfrm>
                        <a:off x="6516215" y="6417332"/>
                        <a:ext cx="432044" cy="360035"/>
                      </a:xfrm>
                      <a:prstGeom prst="rect">
                        <a:avLst/>
                      </a:prstGeom>
                      <a:noFill/>
                      <a:ln w="25402">
                        <a:solidFill>
                          <a:srgbClr val="FF0000"/>
                        </a:solidFill>
                        <a:prstDash val="solid"/>
                      </a:ln>
                    </a:spPr>
                    <a:txSp>
                      <a:txBody>
                        <a:bodyPr vert="horz" wrap="square" lIns="91440" tIns="45720" rIns="91440" bIns="45720" anchor="ctr" anchorCtr="1" compatLnSpc="1"/>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fontAlgn="auto" hangingPunct="1">
                            <a:lnSpc>
                              <a:spcPct val="100000"/>
                            </a:lnSpc>
                            <a:spcBef>
                              <a:spcPts val="0"/>
                            </a:spcBef>
                            <a:spcAft>
                              <a:spcPts val="0"/>
                            </a:spcAft>
                            <a:buNone/>
                            <a:tabLst/>
                            <a:defRPr sz="1800" b="0" i="0" u="none" strike="noStrike" kern="0" cap="none" spc="0" baseline="0">
                              <a:solidFill>
                                <a:srgbClr val="000000"/>
                              </a:solidFill>
                              <a:uFillTx/>
                            </a:defRPr>
                          </a:pPr>
                          <a:endParaRPr lang="en-GB" sz="1200" b="0" i="0" u="none" strike="noStrike" kern="1200" cap="none" spc="0" baseline="0">
                            <a:solidFill>
                              <a:srgbClr val="000000"/>
                            </a:solidFill>
                            <a:uFillTx/>
                            <a:latin typeface="Calibri"/>
                          </a:endParaRPr>
                        </a:p>
                      </a:txBody>
                      <a:useSpRect/>
                    </a:txSp>
                  </a:sp>
                </lc:lockedCanvas>
              </a:graphicData>
            </a:graphic>
          </wp:inline>
        </w:drawing>
      </w:r>
    </w:p>
    <w:sectPr w:rsidR="001F29F1" w:rsidRPr="009E7671" w:rsidSect="0010061E">
      <w:footerReference w:type="even" r:id="rId20"/>
      <w:footerReference w:type="default" r:id="rId21"/>
      <w:footerReference w:type="first" r:id="rId22"/>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61E" w:rsidRDefault="0010061E">
      <w:r>
        <w:separator/>
      </w:r>
    </w:p>
  </w:endnote>
  <w:endnote w:type="continuationSeparator" w:id="0">
    <w:p w:rsidR="0010061E" w:rsidRDefault="001006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sig w:usb0="00000000" w:usb1="00000000" w:usb2="00000000" w:usb3="00000000" w:csb0="00000000" w:csb1="00000000"/>
  </w:font>
  <w:font w:name="HelveticaNeue LT 65 Medium">
    <w:altName w:val="HelveticaNeue LT 65 Medium"/>
    <w:panose1 w:val="00000000000000000000"/>
    <w:charset w:val="00"/>
    <w:family w:val="swiss"/>
    <w:notTrueType/>
    <w:pitch w:val="default"/>
    <w:sig w:usb0="00000003" w:usb1="00000000" w:usb2="00000000" w:usb3="00000000" w:csb0="00000001" w:csb1="00000000"/>
  </w:font>
  <w:font w:name="HelveticaNeue LT 45 Lt">
    <w:altName w:val="HelveticaNeue LT 45 L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61E" w:rsidRDefault="00CC1354">
    <w:pPr>
      <w:pStyle w:val="Footer"/>
      <w:framePr w:wrap="around" w:vAnchor="text" w:hAnchor="margin" w:xAlign="center" w:y="1"/>
      <w:rPr>
        <w:rStyle w:val="PageNumber"/>
      </w:rPr>
    </w:pPr>
    <w:r>
      <w:rPr>
        <w:rStyle w:val="PageNumber"/>
      </w:rPr>
      <w:fldChar w:fldCharType="begin"/>
    </w:r>
    <w:r w:rsidR="0010061E">
      <w:rPr>
        <w:rStyle w:val="PageNumber"/>
      </w:rPr>
      <w:instrText xml:space="preserve">PAGE  </w:instrText>
    </w:r>
    <w:r>
      <w:rPr>
        <w:rStyle w:val="PageNumber"/>
      </w:rPr>
      <w:fldChar w:fldCharType="end"/>
    </w:r>
  </w:p>
  <w:p w:rsidR="0010061E" w:rsidRDefault="001006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61E" w:rsidRDefault="0010061E">
    <w:pPr>
      <w:pStyle w:val="Footer"/>
    </w:pPr>
  </w:p>
  <w:p w:rsidR="0010061E" w:rsidRDefault="0010061E" w:rsidP="0010061E">
    <w:pPr>
      <w:ind w:left="-540" w:right="-908"/>
      <w:jc w:val="center"/>
      <w:rPr>
        <w:rFonts w:ascii="Arial" w:hAnsi="Arial" w:cs="Arial"/>
        <w:sz w:val="20"/>
        <w:szCs w:val="20"/>
      </w:rPr>
    </w:pPr>
    <w:r>
      <w:rPr>
        <w:rFonts w:ascii="Arial" w:hAnsi="Arial" w:cs="Arial"/>
        <w:sz w:val="20"/>
        <w:szCs w:val="20"/>
      </w:rPr>
      <w:t>_______________________________________________________________________________________</w:t>
    </w:r>
  </w:p>
  <w:p w:rsidR="0010061E" w:rsidRDefault="00CC1354" w:rsidP="0010061E">
    <w:pPr>
      <w:pStyle w:val="Footer"/>
      <w:framePr w:wrap="around" w:vAnchor="text" w:hAnchor="page" w:x="5956" w:y="111"/>
      <w:rPr>
        <w:rStyle w:val="PageNumber"/>
      </w:rPr>
    </w:pPr>
    <w:r>
      <w:rPr>
        <w:rStyle w:val="PageNumber"/>
      </w:rPr>
      <w:fldChar w:fldCharType="begin"/>
    </w:r>
    <w:r w:rsidR="0010061E">
      <w:rPr>
        <w:rStyle w:val="PageNumber"/>
      </w:rPr>
      <w:instrText xml:space="preserve">PAGE  </w:instrText>
    </w:r>
    <w:r>
      <w:rPr>
        <w:rStyle w:val="PageNumber"/>
      </w:rPr>
      <w:fldChar w:fldCharType="separate"/>
    </w:r>
    <w:r w:rsidR="005E2907">
      <w:rPr>
        <w:rStyle w:val="PageNumber"/>
        <w:noProof/>
      </w:rPr>
      <w:t>3</w:t>
    </w:r>
    <w:r>
      <w:rPr>
        <w:rStyle w:val="PageNumber"/>
      </w:rPr>
      <w:fldChar w:fldCharType="end"/>
    </w:r>
  </w:p>
  <w:p w:rsidR="0010061E" w:rsidRDefault="0010061E" w:rsidP="00987192">
    <w:pPr>
      <w:ind w:left="-540" w:right="184"/>
      <w:jc w:val="center"/>
      <w:rPr>
        <w:rFonts w:ascii="Arial" w:hAnsi="Arial" w:cs="Arial"/>
        <w:sz w:val="20"/>
        <w:szCs w:val="20"/>
      </w:rPr>
    </w:pPr>
    <w:r>
      <w:rPr>
        <w:rFonts w:ascii="Arial" w:hAnsi="Arial" w:cs="Arial"/>
        <w:sz w:val="20"/>
        <w:szCs w:val="20"/>
      </w:rPr>
      <w:br/>
    </w:r>
  </w:p>
  <w:p w:rsidR="0010061E" w:rsidRDefault="0010061E" w:rsidP="0010061E">
    <w:pPr>
      <w:ind w:left="-540" w:right="184"/>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61E" w:rsidRPr="00513DB0" w:rsidRDefault="0010061E" w:rsidP="0010061E">
    <w:pPr>
      <w:ind w:right="-1192"/>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CC1354" w:rsidRPr="00513DB0">
      <w:rPr>
        <w:rStyle w:val="PageNumber"/>
        <w:rFonts w:ascii="Arial" w:hAnsi="Arial" w:cs="Arial"/>
      </w:rPr>
      <w:fldChar w:fldCharType="begin"/>
    </w:r>
    <w:r w:rsidRPr="00513DB0">
      <w:rPr>
        <w:rStyle w:val="PageNumber"/>
        <w:rFonts w:ascii="Arial" w:hAnsi="Arial" w:cs="Arial"/>
      </w:rPr>
      <w:instrText xml:space="preserve"> PAGE </w:instrText>
    </w:r>
    <w:r w:rsidR="00CC1354" w:rsidRPr="00513DB0">
      <w:rPr>
        <w:rStyle w:val="PageNumber"/>
        <w:rFonts w:ascii="Arial" w:hAnsi="Arial" w:cs="Arial"/>
      </w:rPr>
      <w:fldChar w:fldCharType="separate"/>
    </w:r>
    <w:r w:rsidR="005E2907">
      <w:rPr>
        <w:rStyle w:val="PageNumber"/>
        <w:rFonts w:ascii="Arial" w:hAnsi="Arial" w:cs="Arial"/>
        <w:noProof/>
      </w:rPr>
      <w:t>1</w:t>
    </w:r>
    <w:r w:rsidR="00CC1354" w:rsidRPr="00513DB0">
      <w:rPr>
        <w:rStyle w:val="PageNumber"/>
        <w:rFonts w:ascii="Arial" w:hAnsi="Arial" w:cs="Arial"/>
      </w:rPr>
      <w:fldChar w:fldCharType="end"/>
    </w:r>
  </w:p>
  <w:p w:rsidR="0010061E" w:rsidRDefault="0010061E" w:rsidP="0010061E">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233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6"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10061E" w:rsidRPr="008F5DB5" w:rsidRDefault="0010061E" w:rsidP="0010061E">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10061E" w:rsidRPr="0010061E" w:rsidRDefault="0010061E" w:rsidP="0010061E">
    <w:pPr>
      <w:pStyle w:val="Title"/>
      <w:ind w:right="-1192"/>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61E" w:rsidRDefault="0010061E">
      <w:r>
        <w:separator/>
      </w:r>
    </w:p>
  </w:footnote>
  <w:footnote w:type="continuationSeparator" w:id="0">
    <w:p w:rsidR="0010061E" w:rsidRDefault="001006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5F19B97"/>
    <w:multiLevelType w:val="hybridMultilevel"/>
    <w:tmpl w:val="5EA654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E85C29"/>
    <w:multiLevelType w:val="hybridMultilevel"/>
    <w:tmpl w:val="BBB45C72"/>
    <w:lvl w:ilvl="0" w:tplc="0809000F">
      <w:start w:val="1"/>
      <w:numFmt w:val="decimal"/>
      <w:lvlText w:val="%1."/>
      <w:lvlJc w:val="left"/>
      <w:pPr>
        <w:tabs>
          <w:tab w:val="num" w:pos="720"/>
        </w:tabs>
        <w:ind w:left="720" w:hanging="360"/>
      </w:pPr>
      <w:rPr>
        <w:rFonts w:cs="Times New Roman"/>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
    <w:nsid w:val="06C603B3"/>
    <w:multiLevelType w:val="hybridMultilevel"/>
    <w:tmpl w:val="DA9407C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DA08B4"/>
    <w:multiLevelType w:val="hybridMultilevel"/>
    <w:tmpl w:val="9FC250F0"/>
    <w:lvl w:ilvl="0" w:tplc="08090005">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4">
    <w:nsid w:val="0C70680D"/>
    <w:multiLevelType w:val="hybridMultilevel"/>
    <w:tmpl w:val="F320D11E"/>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7">
    <w:nsid w:val="0F5B3D27"/>
    <w:multiLevelType w:val="hybridMultilevel"/>
    <w:tmpl w:val="87D67F94"/>
    <w:lvl w:ilvl="0" w:tplc="08090005">
      <w:start w:val="1"/>
      <w:numFmt w:val="bullet"/>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0FE502F2"/>
    <w:multiLevelType w:val="hybridMultilevel"/>
    <w:tmpl w:val="C74E73B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2284CCE"/>
    <w:multiLevelType w:val="hybridMultilevel"/>
    <w:tmpl w:val="741AA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1">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1E107F92"/>
    <w:multiLevelType w:val="hybridMultilevel"/>
    <w:tmpl w:val="5120AFD6"/>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21F31CA"/>
    <w:multiLevelType w:val="hybridMultilevel"/>
    <w:tmpl w:val="7B085D9E"/>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27B0504E"/>
    <w:multiLevelType w:val="hybridMultilevel"/>
    <w:tmpl w:val="BA0866F4"/>
    <w:lvl w:ilvl="0" w:tplc="BD5865B8">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7">
    <w:nsid w:val="328D0BD5"/>
    <w:multiLevelType w:val="hybridMultilevel"/>
    <w:tmpl w:val="31E46A84"/>
    <w:lvl w:ilvl="0" w:tplc="6FEC19CC">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3326741B"/>
    <w:multiLevelType w:val="hybridMultilevel"/>
    <w:tmpl w:val="1E644FBE"/>
    <w:lvl w:ilvl="0" w:tplc="08090005">
      <w:start w:val="1"/>
      <w:numFmt w:val="bullet"/>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9">
    <w:nsid w:val="34531CC7"/>
    <w:multiLevelType w:val="hybridMultilevel"/>
    <w:tmpl w:val="47E4618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47956434"/>
    <w:multiLevelType w:val="hybridMultilevel"/>
    <w:tmpl w:val="3AF0515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481A51E5"/>
    <w:multiLevelType w:val="hybridMultilevel"/>
    <w:tmpl w:val="AC48D4B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D395931"/>
    <w:multiLevelType w:val="hybridMultilevel"/>
    <w:tmpl w:val="A3D83916"/>
    <w:lvl w:ilvl="0" w:tplc="0809000F">
      <w:start w:val="1"/>
      <w:numFmt w:val="decimal"/>
      <w:lvlText w:val="%1."/>
      <w:lvlJc w:val="left"/>
      <w:pPr>
        <w:tabs>
          <w:tab w:val="num" w:pos="360"/>
        </w:tabs>
        <w:ind w:left="360" w:hanging="360"/>
      </w:p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5">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nsid w:val="52276C80"/>
    <w:multiLevelType w:val="hybridMultilevel"/>
    <w:tmpl w:val="C27A7710"/>
    <w:lvl w:ilvl="0" w:tplc="0809000F">
      <w:start w:val="1"/>
      <w:numFmt w:val="decimal"/>
      <w:lvlText w:val="%1."/>
      <w:lvlJc w:val="left"/>
      <w:pPr>
        <w:tabs>
          <w:tab w:val="num" w:pos="360"/>
        </w:tabs>
        <w:ind w:left="360" w:hanging="360"/>
      </w:pPr>
    </w:lvl>
    <w:lvl w:ilvl="1" w:tplc="08090005">
      <w:start w:val="1"/>
      <w:numFmt w:val="bullet"/>
      <w:lvlText w:val=""/>
      <w:lvlJc w:val="left"/>
      <w:pPr>
        <w:tabs>
          <w:tab w:val="num" w:pos="1080"/>
        </w:tabs>
        <w:ind w:left="1080" w:hanging="360"/>
      </w:pPr>
      <w:rPr>
        <w:rFonts w:ascii="Wingdings" w:hAnsi="Wingdings" w:hint="default"/>
      </w:rPr>
    </w:lvl>
    <w:lvl w:ilvl="2" w:tplc="08090005">
      <w:start w:val="1"/>
      <w:numFmt w:val="bullet"/>
      <w:lvlText w:val=""/>
      <w:lvlJc w:val="left"/>
      <w:pPr>
        <w:tabs>
          <w:tab w:val="num" w:pos="1800"/>
        </w:tabs>
        <w:ind w:left="1800" w:hanging="180"/>
      </w:pPr>
      <w:rPr>
        <w:rFonts w:ascii="Wingdings" w:hAnsi="Wingdings" w:hint="default"/>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7">
    <w:nsid w:val="556F4A96"/>
    <w:multiLevelType w:val="hybridMultilevel"/>
    <w:tmpl w:val="D1622FF8"/>
    <w:lvl w:ilvl="0" w:tplc="08090005">
      <w:start w:val="1"/>
      <w:numFmt w:val="bullet"/>
      <w:lvlText w:val=""/>
      <w:lvlJc w:val="left"/>
      <w:pPr>
        <w:ind w:left="1434" w:hanging="360"/>
      </w:pPr>
      <w:rPr>
        <w:rFonts w:ascii="Wingdings" w:hAnsi="Wingdings" w:hint="default"/>
      </w:rPr>
    </w:lvl>
    <w:lvl w:ilvl="1" w:tplc="08090003" w:tentative="1">
      <w:start w:val="1"/>
      <w:numFmt w:val="bullet"/>
      <w:lvlText w:val="o"/>
      <w:lvlJc w:val="left"/>
      <w:pPr>
        <w:ind w:left="2154" w:hanging="360"/>
      </w:pPr>
      <w:rPr>
        <w:rFonts w:ascii="Courier New" w:hAnsi="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8">
    <w:nsid w:val="557D7711"/>
    <w:multiLevelType w:val="hybridMultilevel"/>
    <w:tmpl w:val="88D2610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573435A7"/>
    <w:multiLevelType w:val="hybridMultilevel"/>
    <w:tmpl w:val="EBD8439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7470963"/>
    <w:multiLevelType w:val="hybridMultilevel"/>
    <w:tmpl w:val="B084264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58865560"/>
    <w:multiLevelType w:val="hybridMultilevel"/>
    <w:tmpl w:val="1EFC26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C9F0B17"/>
    <w:multiLevelType w:val="hybridMultilevel"/>
    <w:tmpl w:val="69D473A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34">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35">
    <w:nsid w:val="5F0643F7"/>
    <w:multiLevelType w:val="hybridMultilevel"/>
    <w:tmpl w:val="3AB24D6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FF5129A"/>
    <w:multiLevelType w:val="hybridMultilevel"/>
    <w:tmpl w:val="C21AE47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1763E3D"/>
    <w:multiLevelType w:val="hybridMultilevel"/>
    <w:tmpl w:val="ECB8EA66"/>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38">
    <w:nsid w:val="63916CC2"/>
    <w:multiLevelType w:val="hybridMultilevel"/>
    <w:tmpl w:val="2E32B8F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nsid w:val="64C06195"/>
    <w:multiLevelType w:val="hybridMultilevel"/>
    <w:tmpl w:val="AF4A2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7D4066C"/>
    <w:multiLevelType w:val="hybridMultilevel"/>
    <w:tmpl w:val="0ABC497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6C9309C3"/>
    <w:multiLevelType w:val="hybridMultilevel"/>
    <w:tmpl w:val="5B0067A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6E66146A"/>
    <w:multiLevelType w:val="hybridMultilevel"/>
    <w:tmpl w:val="AEA22BEA"/>
    <w:lvl w:ilvl="0" w:tplc="08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73DD38B5"/>
    <w:multiLevelType w:val="hybridMultilevel"/>
    <w:tmpl w:val="9590427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3"/>
  </w:num>
  <w:num w:numId="2">
    <w:abstractNumId w:val="11"/>
  </w:num>
  <w:num w:numId="3">
    <w:abstractNumId w:val="24"/>
  </w:num>
  <w:num w:numId="4">
    <w:abstractNumId w:val="5"/>
  </w:num>
  <w:num w:numId="5">
    <w:abstractNumId w:val="17"/>
  </w:num>
  <w:num w:numId="6">
    <w:abstractNumId w:val="25"/>
  </w:num>
  <w:num w:numId="7">
    <w:abstractNumId w:val="33"/>
  </w:num>
  <w:num w:numId="8">
    <w:abstractNumId w:val="6"/>
  </w:num>
  <w:num w:numId="9">
    <w:abstractNumId w:val="34"/>
  </w:num>
  <w:num w:numId="10">
    <w:abstractNumId w:val="37"/>
  </w:num>
  <w:num w:numId="11">
    <w:abstractNumId w:val="10"/>
  </w:num>
  <w:num w:numId="12">
    <w:abstractNumId w:val="16"/>
  </w:num>
  <w:num w:numId="13">
    <w:abstractNumId w:val="14"/>
  </w:num>
  <w:num w:numId="14">
    <w:abstractNumId w:val="20"/>
  </w:num>
  <w:num w:numId="15">
    <w:abstractNumId w:val="21"/>
  </w:num>
  <w:num w:numId="16">
    <w:abstractNumId w:val="4"/>
  </w:num>
  <w:num w:numId="17">
    <w:abstractNumId w:val="30"/>
  </w:num>
  <w:num w:numId="18">
    <w:abstractNumId w:val="40"/>
  </w:num>
  <w:num w:numId="19">
    <w:abstractNumId w:val="41"/>
  </w:num>
  <w:num w:numId="20">
    <w:abstractNumId w:val="29"/>
  </w:num>
  <w:num w:numId="21">
    <w:abstractNumId w:val="12"/>
  </w:num>
  <w:num w:numId="22">
    <w:abstractNumId w:val="3"/>
  </w:num>
  <w:num w:numId="23">
    <w:abstractNumId w:val="23"/>
  </w:num>
  <w:num w:numId="24">
    <w:abstractNumId w:val="27"/>
  </w:num>
  <w:num w:numId="25">
    <w:abstractNumId w:val="42"/>
  </w:num>
  <w:num w:numId="26">
    <w:abstractNumId w:val="11"/>
  </w:num>
  <w:num w:numId="27">
    <w:abstractNumId w:val="19"/>
  </w:num>
  <w:num w:numId="28">
    <w:abstractNumId w:val="22"/>
  </w:num>
  <w:num w:numId="29">
    <w:abstractNumId w:val="1"/>
  </w:num>
  <w:num w:numId="30">
    <w:abstractNumId w:val="13"/>
  </w:num>
  <w:num w:numId="31">
    <w:abstractNumId w:val="44"/>
  </w:num>
  <w:num w:numId="32">
    <w:abstractNumId w:val="15"/>
  </w:num>
  <w:num w:numId="33">
    <w:abstractNumId w:val="39"/>
  </w:num>
  <w:num w:numId="34">
    <w:abstractNumId w:val="32"/>
  </w:num>
  <w:num w:numId="35">
    <w:abstractNumId w:val="8"/>
  </w:num>
  <w:num w:numId="36">
    <w:abstractNumId w:val="36"/>
  </w:num>
  <w:num w:numId="37">
    <w:abstractNumId w:val="35"/>
  </w:num>
  <w:num w:numId="38">
    <w:abstractNumId w:val="31"/>
  </w:num>
  <w:num w:numId="39">
    <w:abstractNumId w:val="28"/>
  </w:num>
  <w:num w:numId="40">
    <w:abstractNumId w:val="26"/>
  </w:num>
  <w:num w:numId="41">
    <w:abstractNumId w:val="0"/>
  </w:num>
  <w:num w:numId="42">
    <w:abstractNumId w:val="2"/>
  </w:num>
  <w:num w:numId="43">
    <w:abstractNumId w:val="9"/>
  </w:num>
  <w:num w:numId="44">
    <w:abstractNumId w:val="38"/>
  </w:num>
  <w:num w:numId="45">
    <w:abstractNumId w:val="7"/>
  </w:num>
  <w:num w:numId="46">
    <w:abstractNumId w:val="1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rsids>
    <w:rsidRoot w:val="00FB336D"/>
    <w:rsid w:val="00000F06"/>
    <w:rsid w:val="0000132B"/>
    <w:rsid w:val="00001527"/>
    <w:rsid w:val="0000285F"/>
    <w:rsid w:val="00003BA2"/>
    <w:rsid w:val="00003FDE"/>
    <w:rsid w:val="00004D48"/>
    <w:rsid w:val="00005332"/>
    <w:rsid w:val="00006A27"/>
    <w:rsid w:val="00010752"/>
    <w:rsid w:val="000109B5"/>
    <w:rsid w:val="00011464"/>
    <w:rsid w:val="00012511"/>
    <w:rsid w:val="00012CBD"/>
    <w:rsid w:val="00012E8E"/>
    <w:rsid w:val="00013353"/>
    <w:rsid w:val="00014394"/>
    <w:rsid w:val="0001480E"/>
    <w:rsid w:val="00015CDD"/>
    <w:rsid w:val="00016364"/>
    <w:rsid w:val="0002265D"/>
    <w:rsid w:val="000229D5"/>
    <w:rsid w:val="00024055"/>
    <w:rsid w:val="0002462C"/>
    <w:rsid w:val="0002593B"/>
    <w:rsid w:val="00025E0E"/>
    <w:rsid w:val="000300CC"/>
    <w:rsid w:val="00033D76"/>
    <w:rsid w:val="00035B44"/>
    <w:rsid w:val="00036046"/>
    <w:rsid w:val="000368A0"/>
    <w:rsid w:val="00037BDB"/>
    <w:rsid w:val="00042215"/>
    <w:rsid w:val="00046A38"/>
    <w:rsid w:val="00047281"/>
    <w:rsid w:val="00050092"/>
    <w:rsid w:val="000508F5"/>
    <w:rsid w:val="000511E4"/>
    <w:rsid w:val="00051606"/>
    <w:rsid w:val="0005218C"/>
    <w:rsid w:val="000538A3"/>
    <w:rsid w:val="00054AAB"/>
    <w:rsid w:val="00054BED"/>
    <w:rsid w:val="000552EF"/>
    <w:rsid w:val="00055D47"/>
    <w:rsid w:val="00056080"/>
    <w:rsid w:val="0005653D"/>
    <w:rsid w:val="00066501"/>
    <w:rsid w:val="00067A08"/>
    <w:rsid w:val="00070079"/>
    <w:rsid w:val="00070944"/>
    <w:rsid w:val="00070995"/>
    <w:rsid w:val="00071906"/>
    <w:rsid w:val="00071EF7"/>
    <w:rsid w:val="000720A5"/>
    <w:rsid w:val="00073359"/>
    <w:rsid w:val="00073B67"/>
    <w:rsid w:val="00073EAC"/>
    <w:rsid w:val="00075AC9"/>
    <w:rsid w:val="00080DF1"/>
    <w:rsid w:val="00083231"/>
    <w:rsid w:val="00084583"/>
    <w:rsid w:val="00087181"/>
    <w:rsid w:val="000902EB"/>
    <w:rsid w:val="00091273"/>
    <w:rsid w:val="00092034"/>
    <w:rsid w:val="000926A0"/>
    <w:rsid w:val="00093B88"/>
    <w:rsid w:val="000948B7"/>
    <w:rsid w:val="000960E7"/>
    <w:rsid w:val="0009682F"/>
    <w:rsid w:val="0009687F"/>
    <w:rsid w:val="0009748B"/>
    <w:rsid w:val="000A0566"/>
    <w:rsid w:val="000A2B44"/>
    <w:rsid w:val="000A2EE7"/>
    <w:rsid w:val="000A5520"/>
    <w:rsid w:val="000A5C42"/>
    <w:rsid w:val="000A6C7F"/>
    <w:rsid w:val="000A6D15"/>
    <w:rsid w:val="000A764C"/>
    <w:rsid w:val="000A7CFA"/>
    <w:rsid w:val="000A7F27"/>
    <w:rsid w:val="000B1409"/>
    <w:rsid w:val="000B2165"/>
    <w:rsid w:val="000B3BB4"/>
    <w:rsid w:val="000B486D"/>
    <w:rsid w:val="000B4B47"/>
    <w:rsid w:val="000B4D45"/>
    <w:rsid w:val="000B4E84"/>
    <w:rsid w:val="000B51BA"/>
    <w:rsid w:val="000B5912"/>
    <w:rsid w:val="000B5F03"/>
    <w:rsid w:val="000C0989"/>
    <w:rsid w:val="000C1756"/>
    <w:rsid w:val="000C206A"/>
    <w:rsid w:val="000C231D"/>
    <w:rsid w:val="000C337E"/>
    <w:rsid w:val="000C3724"/>
    <w:rsid w:val="000C3B78"/>
    <w:rsid w:val="000C3BA0"/>
    <w:rsid w:val="000C409D"/>
    <w:rsid w:val="000C43D7"/>
    <w:rsid w:val="000C4CDC"/>
    <w:rsid w:val="000C4EB2"/>
    <w:rsid w:val="000C65C2"/>
    <w:rsid w:val="000C686E"/>
    <w:rsid w:val="000C6C23"/>
    <w:rsid w:val="000C6DA3"/>
    <w:rsid w:val="000C72A4"/>
    <w:rsid w:val="000D1AF1"/>
    <w:rsid w:val="000D2300"/>
    <w:rsid w:val="000D2BCE"/>
    <w:rsid w:val="000D4198"/>
    <w:rsid w:val="000D5271"/>
    <w:rsid w:val="000D6985"/>
    <w:rsid w:val="000D6E08"/>
    <w:rsid w:val="000D6E46"/>
    <w:rsid w:val="000D70A7"/>
    <w:rsid w:val="000D735F"/>
    <w:rsid w:val="000E0750"/>
    <w:rsid w:val="000E18C2"/>
    <w:rsid w:val="000E20CD"/>
    <w:rsid w:val="000E293C"/>
    <w:rsid w:val="000E2DC3"/>
    <w:rsid w:val="000E37D6"/>
    <w:rsid w:val="000E3AED"/>
    <w:rsid w:val="000E3C1C"/>
    <w:rsid w:val="000E52CC"/>
    <w:rsid w:val="000E5968"/>
    <w:rsid w:val="000E62BC"/>
    <w:rsid w:val="000E6A81"/>
    <w:rsid w:val="000F0820"/>
    <w:rsid w:val="000F180F"/>
    <w:rsid w:val="000F196C"/>
    <w:rsid w:val="000F1E27"/>
    <w:rsid w:val="000F4524"/>
    <w:rsid w:val="000F4B4A"/>
    <w:rsid w:val="000F68FF"/>
    <w:rsid w:val="000F6B12"/>
    <w:rsid w:val="0010061E"/>
    <w:rsid w:val="00100C3E"/>
    <w:rsid w:val="00101D3B"/>
    <w:rsid w:val="00101FE6"/>
    <w:rsid w:val="00102448"/>
    <w:rsid w:val="00102BAE"/>
    <w:rsid w:val="00102CE2"/>
    <w:rsid w:val="0010443F"/>
    <w:rsid w:val="00104F21"/>
    <w:rsid w:val="001059E0"/>
    <w:rsid w:val="001059E2"/>
    <w:rsid w:val="00106911"/>
    <w:rsid w:val="001112BF"/>
    <w:rsid w:val="00113D96"/>
    <w:rsid w:val="001142CD"/>
    <w:rsid w:val="00114405"/>
    <w:rsid w:val="00114D93"/>
    <w:rsid w:val="00115344"/>
    <w:rsid w:val="001175E5"/>
    <w:rsid w:val="0012200E"/>
    <w:rsid w:val="001226E2"/>
    <w:rsid w:val="00122905"/>
    <w:rsid w:val="0012468E"/>
    <w:rsid w:val="00124827"/>
    <w:rsid w:val="001266C0"/>
    <w:rsid w:val="00127E89"/>
    <w:rsid w:val="00130724"/>
    <w:rsid w:val="00133DA9"/>
    <w:rsid w:val="00133F4C"/>
    <w:rsid w:val="001356B2"/>
    <w:rsid w:val="0013588E"/>
    <w:rsid w:val="00136AB9"/>
    <w:rsid w:val="00136F19"/>
    <w:rsid w:val="00140C75"/>
    <w:rsid w:val="00141287"/>
    <w:rsid w:val="0014179B"/>
    <w:rsid w:val="0014195E"/>
    <w:rsid w:val="001422B2"/>
    <w:rsid w:val="00142AEE"/>
    <w:rsid w:val="00142CE8"/>
    <w:rsid w:val="001440B6"/>
    <w:rsid w:val="001474C6"/>
    <w:rsid w:val="00151CD2"/>
    <w:rsid w:val="0015424C"/>
    <w:rsid w:val="00154C6E"/>
    <w:rsid w:val="00155452"/>
    <w:rsid w:val="001563EB"/>
    <w:rsid w:val="00157D84"/>
    <w:rsid w:val="00160F5D"/>
    <w:rsid w:val="0016170C"/>
    <w:rsid w:val="00161CEF"/>
    <w:rsid w:val="001621BC"/>
    <w:rsid w:val="0016240B"/>
    <w:rsid w:val="00162FF3"/>
    <w:rsid w:val="00165814"/>
    <w:rsid w:val="00165D71"/>
    <w:rsid w:val="00166314"/>
    <w:rsid w:val="001703D7"/>
    <w:rsid w:val="001732F8"/>
    <w:rsid w:val="00173B29"/>
    <w:rsid w:val="00173DB6"/>
    <w:rsid w:val="001759F9"/>
    <w:rsid w:val="001764A8"/>
    <w:rsid w:val="00176DC7"/>
    <w:rsid w:val="001801C9"/>
    <w:rsid w:val="00180A53"/>
    <w:rsid w:val="00181E6B"/>
    <w:rsid w:val="00182C06"/>
    <w:rsid w:val="001830FA"/>
    <w:rsid w:val="001840A2"/>
    <w:rsid w:val="00184793"/>
    <w:rsid w:val="00184CAE"/>
    <w:rsid w:val="00186C0F"/>
    <w:rsid w:val="001917FA"/>
    <w:rsid w:val="00191A55"/>
    <w:rsid w:val="00193533"/>
    <w:rsid w:val="00193F7B"/>
    <w:rsid w:val="00194198"/>
    <w:rsid w:val="001978E6"/>
    <w:rsid w:val="001A068C"/>
    <w:rsid w:val="001A243F"/>
    <w:rsid w:val="001A262F"/>
    <w:rsid w:val="001A4162"/>
    <w:rsid w:val="001A43C7"/>
    <w:rsid w:val="001A624A"/>
    <w:rsid w:val="001A6F98"/>
    <w:rsid w:val="001A7988"/>
    <w:rsid w:val="001B0DDC"/>
    <w:rsid w:val="001B141F"/>
    <w:rsid w:val="001B22F6"/>
    <w:rsid w:val="001B272D"/>
    <w:rsid w:val="001B338E"/>
    <w:rsid w:val="001B3610"/>
    <w:rsid w:val="001B3888"/>
    <w:rsid w:val="001B5C7E"/>
    <w:rsid w:val="001B5CAF"/>
    <w:rsid w:val="001B5D6D"/>
    <w:rsid w:val="001B6494"/>
    <w:rsid w:val="001B6DA2"/>
    <w:rsid w:val="001B79D4"/>
    <w:rsid w:val="001B7F7D"/>
    <w:rsid w:val="001C064C"/>
    <w:rsid w:val="001C1571"/>
    <w:rsid w:val="001C187E"/>
    <w:rsid w:val="001C2164"/>
    <w:rsid w:val="001C278B"/>
    <w:rsid w:val="001C37E0"/>
    <w:rsid w:val="001C4B6F"/>
    <w:rsid w:val="001C4DA3"/>
    <w:rsid w:val="001C4EB7"/>
    <w:rsid w:val="001C6E82"/>
    <w:rsid w:val="001C793A"/>
    <w:rsid w:val="001D0B89"/>
    <w:rsid w:val="001D0D92"/>
    <w:rsid w:val="001D2C34"/>
    <w:rsid w:val="001D3457"/>
    <w:rsid w:val="001D3E4F"/>
    <w:rsid w:val="001D567C"/>
    <w:rsid w:val="001E096A"/>
    <w:rsid w:val="001E0D3E"/>
    <w:rsid w:val="001E0D99"/>
    <w:rsid w:val="001E0FE0"/>
    <w:rsid w:val="001E1FC3"/>
    <w:rsid w:val="001E24EB"/>
    <w:rsid w:val="001E26E5"/>
    <w:rsid w:val="001E2FF2"/>
    <w:rsid w:val="001E6186"/>
    <w:rsid w:val="001E7BB0"/>
    <w:rsid w:val="001F01A3"/>
    <w:rsid w:val="001F073B"/>
    <w:rsid w:val="001F1861"/>
    <w:rsid w:val="001F29F1"/>
    <w:rsid w:val="001F4C51"/>
    <w:rsid w:val="001F7195"/>
    <w:rsid w:val="001F76BF"/>
    <w:rsid w:val="001F7E6A"/>
    <w:rsid w:val="0020128F"/>
    <w:rsid w:val="00202613"/>
    <w:rsid w:val="0020277F"/>
    <w:rsid w:val="002028B1"/>
    <w:rsid w:val="002029F5"/>
    <w:rsid w:val="00203312"/>
    <w:rsid w:val="0020398A"/>
    <w:rsid w:val="00203A65"/>
    <w:rsid w:val="002058F7"/>
    <w:rsid w:val="0020693E"/>
    <w:rsid w:val="00206BF6"/>
    <w:rsid w:val="002073F5"/>
    <w:rsid w:val="00211F87"/>
    <w:rsid w:val="002125A9"/>
    <w:rsid w:val="00213119"/>
    <w:rsid w:val="00213BD2"/>
    <w:rsid w:val="002143DD"/>
    <w:rsid w:val="00216005"/>
    <w:rsid w:val="00217287"/>
    <w:rsid w:val="002173DA"/>
    <w:rsid w:val="002178A3"/>
    <w:rsid w:val="00217BB1"/>
    <w:rsid w:val="002209CB"/>
    <w:rsid w:val="00220A4F"/>
    <w:rsid w:val="002211AB"/>
    <w:rsid w:val="002213C8"/>
    <w:rsid w:val="00221F62"/>
    <w:rsid w:val="00222D0A"/>
    <w:rsid w:val="00223052"/>
    <w:rsid w:val="002235AA"/>
    <w:rsid w:val="00223BF4"/>
    <w:rsid w:val="00227D83"/>
    <w:rsid w:val="00232A36"/>
    <w:rsid w:val="0023366A"/>
    <w:rsid w:val="00236544"/>
    <w:rsid w:val="00237472"/>
    <w:rsid w:val="0024032B"/>
    <w:rsid w:val="002409CF"/>
    <w:rsid w:val="00241542"/>
    <w:rsid w:val="0024247D"/>
    <w:rsid w:val="00243387"/>
    <w:rsid w:val="002450A1"/>
    <w:rsid w:val="00247375"/>
    <w:rsid w:val="00247ECE"/>
    <w:rsid w:val="00250E70"/>
    <w:rsid w:val="00251A22"/>
    <w:rsid w:val="002523B4"/>
    <w:rsid w:val="00252768"/>
    <w:rsid w:val="002555FC"/>
    <w:rsid w:val="002558AF"/>
    <w:rsid w:val="00255F24"/>
    <w:rsid w:val="00256BC9"/>
    <w:rsid w:val="00256FE7"/>
    <w:rsid w:val="002618B5"/>
    <w:rsid w:val="00261F97"/>
    <w:rsid w:val="00262EC5"/>
    <w:rsid w:val="002631D8"/>
    <w:rsid w:val="0026349F"/>
    <w:rsid w:val="00267FCD"/>
    <w:rsid w:val="002700AB"/>
    <w:rsid w:val="00271BFB"/>
    <w:rsid w:val="002734B4"/>
    <w:rsid w:val="002736D8"/>
    <w:rsid w:val="002743A7"/>
    <w:rsid w:val="002748ED"/>
    <w:rsid w:val="00274D52"/>
    <w:rsid w:val="00275CAF"/>
    <w:rsid w:val="00275F07"/>
    <w:rsid w:val="0028008B"/>
    <w:rsid w:val="00282E36"/>
    <w:rsid w:val="00284D39"/>
    <w:rsid w:val="00284DB7"/>
    <w:rsid w:val="002850A1"/>
    <w:rsid w:val="0028554C"/>
    <w:rsid w:val="0028582B"/>
    <w:rsid w:val="00286D8D"/>
    <w:rsid w:val="00287271"/>
    <w:rsid w:val="00287D8B"/>
    <w:rsid w:val="00290643"/>
    <w:rsid w:val="002923B2"/>
    <w:rsid w:val="002942E3"/>
    <w:rsid w:val="0029480A"/>
    <w:rsid w:val="0029561E"/>
    <w:rsid w:val="00296723"/>
    <w:rsid w:val="00297424"/>
    <w:rsid w:val="002A3807"/>
    <w:rsid w:val="002A3FB7"/>
    <w:rsid w:val="002A4762"/>
    <w:rsid w:val="002A4CAF"/>
    <w:rsid w:val="002A5AA9"/>
    <w:rsid w:val="002A5ABF"/>
    <w:rsid w:val="002B2699"/>
    <w:rsid w:val="002B2E2A"/>
    <w:rsid w:val="002B512B"/>
    <w:rsid w:val="002B5417"/>
    <w:rsid w:val="002B5AD3"/>
    <w:rsid w:val="002B6E78"/>
    <w:rsid w:val="002C057D"/>
    <w:rsid w:val="002C43BF"/>
    <w:rsid w:val="002C47DA"/>
    <w:rsid w:val="002C4AFE"/>
    <w:rsid w:val="002C5573"/>
    <w:rsid w:val="002C5703"/>
    <w:rsid w:val="002C5E9D"/>
    <w:rsid w:val="002C74ED"/>
    <w:rsid w:val="002C7EC9"/>
    <w:rsid w:val="002D1770"/>
    <w:rsid w:val="002D180A"/>
    <w:rsid w:val="002D186D"/>
    <w:rsid w:val="002D1884"/>
    <w:rsid w:val="002D1A20"/>
    <w:rsid w:val="002D2C21"/>
    <w:rsid w:val="002D318A"/>
    <w:rsid w:val="002D3C8D"/>
    <w:rsid w:val="002D55BF"/>
    <w:rsid w:val="002D5A29"/>
    <w:rsid w:val="002D5C6B"/>
    <w:rsid w:val="002D778E"/>
    <w:rsid w:val="002E209D"/>
    <w:rsid w:val="002E2942"/>
    <w:rsid w:val="002E2B79"/>
    <w:rsid w:val="002E2C72"/>
    <w:rsid w:val="002E2D8B"/>
    <w:rsid w:val="002E3101"/>
    <w:rsid w:val="002E5196"/>
    <w:rsid w:val="002E5291"/>
    <w:rsid w:val="002E54AC"/>
    <w:rsid w:val="002E68DC"/>
    <w:rsid w:val="002E6C31"/>
    <w:rsid w:val="002E7F84"/>
    <w:rsid w:val="002F1B13"/>
    <w:rsid w:val="002F1C93"/>
    <w:rsid w:val="002F39A0"/>
    <w:rsid w:val="002F4976"/>
    <w:rsid w:val="002F56B8"/>
    <w:rsid w:val="002F5C06"/>
    <w:rsid w:val="00300BA7"/>
    <w:rsid w:val="00301ACE"/>
    <w:rsid w:val="00304ECD"/>
    <w:rsid w:val="00304EF6"/>
    <w:rsid w:val="00305EB2"/>
    <w:rsid w:val="003119B4"/>
    <w:rsid w:val="00311BE5"/>
    <w:rsid w:val="00311F07"/>
    <w:rsid w:val="003122D8"/>
    <w:rsid w:val="003123D2"/>
    <w:rsid w:val="0031289B"/>
    <w:rsid w:val="00312BA3"/>
    <w:rsid w:val="00312C51"/>
    <w:rsid w:val="00312C9B"/>
    <w:rsid w:val="00313E68"/>
    <w:rsid w:val="00314986"/>
    <w:rsid w:val="00316170"/>
    <w:rsid w:val="00316B2E"/>
    <w:rsid w:val="003176ED"/>
    <w:rsid w:val="003202CA"/>
    <w:rsid w:val="00320A94"/>
    <w:rsid w:val="00321D1C"/>
    <w:rsid w:val="00321D2E"/>
    <w:rsid w:val="003223BA"/>
    <w:rsid w:val="00322498"/>
    <w:rsid w:val="003235B5"/>
    <w:rsid w:val="003257C2"/>
    <w:rsid w:val="003259C5"/>
    <w:rsid w:val="003263F0"/>
    <w:rsid w:val="003302EE"/>
    <w:rsid w:val="00333BD2"/>
    <w:rsid w:val="003346AE"/>
    <w:rsid w:val="0033702A"/>
    <w:rsid w:val="00337564"/>
    <w:rsid w:val="00337FC0"/>
    <w:rsid w:val="003411C7"/>
    <w:rsid w:val="003412B0"/>
    <w:rsid w:val="00342F03"/>
    <w:rsid w:val="00343E6E"/>
    <w:rsid w:val="0035105A"/>
    <w:rsid w:val="0035254D"/>
    <w:rsid w:val="00352EC7"/>
    <w:rsid w:val="00354084"/>
    <w:rsid w:val="00354E4F"/>
    <w:rsid w:val="0035563F"/>
    <w:rsid w:val="00355B17"/>
    <w:rsid w:val="00355DEB"/>
    <w:rsid w:val="00356143"/>
    <w:rsid w:val="003618A8"/>
    <w:rsid w:val="00361B3A"/>
    <w:rsid w:val="00364CC3"/>
    <w:rsid w:val="00366D47"/>
    <w:rsid w:val="003705A2"/>
    <w:rsid w:val="00374F0B"/>
    <w:rsid w:val="00376A41"/>
    <w:rsid w:val="0038105D"/>
    <w:rsid w:val="0038117A"/>
    <w:rsid w:val="003820B2"/>
    <w:rsid w:val="003823EC"/>
    <w:rsid w:val="00384AB9"/>
    <w:rsid w:val="00384F4A"/>
    <w:rsid w:val="0038575D"/>
    <w:rsid w:val="00390485"/>
    <w:rsid w:val="00391148"/>
    <w:rsid w:val="0039323F"/>
    <w:rsid w:val="00393C88"/>
    <w:rsid w:val="003A14B3"/>
    <w:rsid w:val="003A1FFC"/>
    <w:rsid w:val="003A24F3"/>
    <w:rsid w:val="003A28F2"/>
    <w:rsid w:val="003A33C1"/>
    <w:rsid w:val="003A3735"/>
    <w:rsid w:val="003A3966"/>
    <w:rsid w:val="003A3A85"/>
    <w:rsid w:val="003A49FF"/>
    <w:rsid w:val="003A6C82"/>
    <w:rsid w:val="003A7F64"/>
    <w:rsid w:val="003B0BA2"/>
    <w:rsid w:val="003B2798"/>
    <w:rsid w:val="003B58F9"/>
    <w:rsid w:val="003B7273"/>
    <w:rsid w:val="003B7391"/>
    <w:rsid w:val="003B7FD1"/>
    <w:rsid w:val="003B7FE1"/>
    <w:rsid w:val="003C053C"/>
    <w:rsid w:val="003C0ECC"/>
    <w:rsid w:val="003C2841"/>
    <w:rsid w:val="003C29CD"/>
    <w:rsid w:val="003C3541"/>
    <w:rsid w:val="003C4EC6"/>
    <w:rsid w:val="003C6ED5"/>
    <w:rsid w:val="003D1F38"/>
    <w:rsid w:val="003D32BA"/>
    <w:rsid w:val="003D430A"/>
    <w:rsid w:val="003D4DC5"/>
    <w:rsid w:val="003D5356"/>
    <w:rsid w:val="003D5C55"/>
    <w:rsid w:val="003D6DE6"/>
    <w:rsid w:val="003D6F41"/>
    <w:rsid w:val="003D78AB"/>
    <w:rsid w:val="003E0BD7"/>
    <w:rsid w:val="003E2D8F"/>
    <w:rsid w:val="003E4918"/>
    <w:rsid w:val="003E5AE1"/>
    <w:rsid w:val="003E6961"/>
    <w:rsid w:val="003F1A1C"/>
    <w:rsid w:val="003F5101"/>
    <w:rsid w:val="003F6BFE"/>
    <w:rsid w:val="003F72B3"/>
    <w:rsid w:val="003F7320"/>
    <w:rsid w:val="004005A7"/>
    <w:rsid w:val="00405962"/>
    <w:rsid w:val="00406D55"/>
    <w:rsid w:val="004112BC"/>
    <w:rsid w:val="00411DFD"/>
    <w:rsid w:val="00411EFF"/>
    <w:rsid w:val="004121AB"/>
    <w:rsid w:val="00412BCD"/>
    <w:rsid w:val="00413315"/>
    <w:rsid w:val="00414300"/>
    <w:rsid w:val="00414806"/>
    <w:rsid w:val="004165F0"/>
    <w:rsid w:val="0041727E"/>
    <w:rsid w:val="00417BB2"/>
    <w:rsid w:val="00423D67"/>
    <w:rsid w:val="0042487F"/>
    <w:rsid w:val="004248AB"/>
    <w:rsid w:val="00425231"/>
    <w:rsid w:val="0042666E"/>
    <w:rsid w:val="0042710E"/>
    <w:rsid w:val="00430363"/>
    <w:rsid w:val="004306DE"/>
    <w:rsid w:val="004313F7"/>
    <w:rsid w:val="0043250E"/>
    <w:rsid w:val="004347CC"/>
    <w:rsid w:val="004372E3"/>
    <w:rsid w:val="00437476"/>
    <w:rsid w:val="0044078F"/>
    <w:rsid w:val="00440871"/>
    <w:rsid w:val="00440BA9"/>
    <w:rsid w:val="00440E68"/>
    <w:rsid w:val="0044116A"/>
    <w:rsid w:val="00441365"/>
    <w:rsid w:val="00441DC0"/>
    <w:rsid w:val="00441EF1"/>
    <w:rsid w:val="004428D5"/>
    <w:rsid w:val="00442CAB"/>
    <w:rsid w:val="00443357"/>
    <w:rsid w:val="00443BE6"/>
    <w:rsid w:val="00444973"/>
    <w:rsid w:val="0044609D"/>
    <w:rsid w:val="00446A42"/>
    <w:rsid w:val="00446C14"/>
    <w:rsid w:val="00450D1B"/>
    <w:rsid w:val="00453205"/>
    <w:rsid w:val="0045371B"/>
    <w:rsid w:val="00453CCA"/>
    <w:rsid w:val="004541A5"/>
    <w:rsid w:val="004554FB"/>
    <w:rsid w:val="00456F17"/>
    <w:rsid w:val="00462FEF"/>
    <w:rsid w:val="004771FF"/>
    <w:rsid w:val="00477B32"/>
    <w:rsid w:val="00477DD3"/>
    <w:rsid w:val="00480C9B"/>
    <w:rsid w:val="004813F2"/>
    <w:rsid w:val="00482572"/>
    <w:rsid w:val="00482E04"/>
    <w:rsid w:val="004831D6"/>
    <w:rsid w:val="00485AD4"/>
    <w:rsid w:val="00486236"/>
    <w:rsid w:val="00486412"/>
    <w:rsid w:val="00486921"/>
    <w:rsid w:val="00487F73"/>
    <w:rsid w:val="00490DAE"/>
    <w:rsid w:val="00490ECC"/>
    <w:rsid w:val="004912CB"/>
    <w:rsid w:val="004919C1"/>
    <w:rsid w:val="0049260B"/>
    <w:rsid w:val="00495A47"/>
    <w:rsid w:val="00496099"/>
    <w:rsid w:val="004961B0"/>
    <w:rsid w:val="00496344"/>
    <w:rsid w:val="004967BC"/>
    <w:rsid w:val="004975E7"/>
    <w:rsid w:val="004A05F2"/>
    <w:rsid w:val="004A0A90"/>
    <w:rsid w:val="004A0DD1"/>
    <w:rsid w:val="004A1425"/>
    <w:rsid w:val="004A18D3"/>
    <w:rsid w:val="004A1CF4"/>
    <w:rsid w:val="004A212D"/>
    <w:rsid w:val="004A2782"/>
    <w:rsid w:val="004A33C6"/>
    <w:rsid w:val="004A36ED"/>
    <w:rsid w:val="004A4680"/>
    <w:rsid w:val="004A47D3"/>
    <w:rsid w:val="004A5911"/>
    <w:rsid w:val="004A5B61"/>
    <w:rsid w:val="004A6909"/>
    <w:rsid w:val="004A7AC5"/>
    <w:rsid w:val="004B1DBC"/>
    <w:rsid w:val="004B2728"/>
    <w:rsid w:val="004B3349"/>
    <w:rsid w:val="004B357E"/>
    <w:rsid w:val="004B4AAE"/>
    <w:rsid w:val="004B79DD"/>
    <w:rsid w:val="004C0890"/>
    <w:rsid w:val="004C1616"/>
    <w:rsid w:val="004C1AAE"/>
    <w:rsid w:val="004C285F"/>
    <w:rsid w:val="004C3D6D"/>
    <w:rsid w:val="004C4208"/>
    <w:rsid w:val="004C4232"/>
    <w:rsid w:val="004C46F2"/>
    <w:rsid w:val="004C510B"/>
    <w:rsid w:val="004C562B"/>
    <w:rsid w:val="004D00F2"/>
    <w:rsid w:val="004D0204"/>
    <w:rsid w:val="004D0212"/>
    <w:rsid w:val="004D0C39"/>
    <w:rsid w:val="004D433F"/>
    <w:rsid w:val="004D5BE8"/>
    <w:rsid w:val="004D6FFC"/>
    <w:rsid w:val="004E0237"/>
    <w:rsid w:val="004E0C80"/>
    <w:rsid w:val="004E0CB0"/>
    <w:rsid w:val="004E2460"/>
    <w:rsid w:val="004E3643"/>
    <w:rsid w:val="004E3D8D"/>
    <w:rsid w:val="004E4102"/>
    <w:rsid w:val="004E4B04"/>
    <w:rsid w:val="004E5EEC"/>
    <w:rsid w:val="004E666C"/>
    <w:rsid w:val="004E7128"/>
    <w:rsid w:val="004E7546"/>
    <w:rsid w:val="004F2771"/>
    <w:rsid w:val="004F45B3"/>
    <w:rsid w:val="004F45FF"/>
    <w:rsid w:val="004F5BCD"/>
    <w:rsid w:val="004F5F1D"/>
    <w:rsid w:val="004F626A"/>
    <w:rsid w:val="004F7F35"/>
    <w:rsid w:val="0050210B"/>
    <w:rsid w:val="005023DE"/>
    <w:rsid w:val="005028A9"/>
    <w:rsid w:val="00502FA1"/>
    <w:rsid w:val="00504EB3"/>
    <w:rsid w:val="00505171"/>
    <w:rsid w:val="00506024"/>
    <w:rsid w:val="00506FA4"/>
    <w:rsid w:val="00507173"/>
    <w:rsid w:val="005076DB"/>
    <w:rsid w:val="0050779E"/>
    <w:rsid w:val="005100FB"/>
    <w:rsid w:val="00510A67"/>
    <w:rsid w:val="00511C73"/>
    <w:rsid w:val="00512829"/>
    <w:rsid w:val="00512E38"/>
    <w:rsid w:val="00513629"/>
    <w:rsid w:val="005141E7"/>
    <w:rsid w:val="005150DD"/>
    <w:rsid w:val="0051684B"/>
    <w:rsid w:val="0051795E"/>
    <w:rsid w:val="00517A0C"/>
    <w:rsid w:val="0052029A"/>
    <w:rsid w:val="00521B8C"/>
    <w:rsid w:val="00521D1F"/>
    <w:rsid w:val="00522792"/>
    <w:rsid w:val="005245FF"/>
    <w:rsid w:val="00524847"/>
    <w:rsid w:val="005250A3"/>
    <w:rsid w:val="0052687E"/>
    <w:rsid w:val="005272A0"/>
    <w:rsid w:val="00530252"/>
    <w:rsid w:val="005315D2"/>
    <w:rsid w:val="00532E45"/>
    <w:rsid w:val="00534840"/>
    <w:rsid w:val="00534D03"/>
    <w:rsid w:val="00535349"/>
    <w:rsid w:val="005360F9"/>
    <w:rsid w:val="0053648B"/>
    <w:rsid w:val="005371AE"/>
    <w:rsid w:val="00537F8F"/>
    <w:rsid w:val="00542798"/>
    <w:rsid w:val="00547862"/>
    <w:rsid w:val="00547F05"/>
    <w:rsid w:val="00550D35"/>
    <w:rsid w:val="00551D25"/>
    <w:rsid w:val="00552F32"/>
    <w:rsid w:val="00553595"/>
    <w:rsid w:val="00553AE7"/>
    <w:rsid w:val="00554275"/>
    <w:rsid w:val="00554337"/>
    <w:rsid w:val="00554F70"/>
    <w:rsid w:val="0055551B"/>
    <w:rsid w:val="005561F0"/>
    <w:rsid w:val="005562D8"/>
    <w:rsid w:val="00556F32"/>
    <w:rsid w:val="0056192F"/>
    <w:rsid w:val="00566F15"/>
    <w:rsid w:val="005700CB"/>
    <w:rsid w:val="0057010E"/>
    <w:rsid w:val="005711E7"/>
    <w:rsid w:val="005712EF"/>
    <w:rsid w:val="005729FB"/>
    <w:rsid w:val="00572BF8"/>
    <w:rsid w:val="005730C7"/>
    <w:rsid w:val="005745F0"/>
    <w:rsid w:val="00577A49"/>
    <w:rsid w:val="00580EF9"/>
    <w:rsid w:val="00585BEB"/>
    <w:rsid w:val="005867EB"/>
    <w:rsid w:val="0058799A"/>
    <w:rsid w:val="00591EB5"/>
    <w:rsid w:val="0059299E"/>
    <w:rsid w:val="00594963"/>
    <w:rsid w:val="005976D8"/>
    <w:rsid w:val="005A14BB"/>
    <w:rsid w:val="005A1881"/>
    <w:rsid w:val="005A1C6C"/>
    <w:rsid w:val="005A2261"/>
    <w:rsid w:val="005A269F"/>
    <w:rsid w:val="005A355F"/>
    <w:rsid w:val="005A3D8C"/>
    <w:rsid w:val="005A6432"/>
    <w:rsid w:val="005B0715"/>
    <w:rsid w:val="005B0C20"/>
    <w:rsid w:val="005B3FCB"/>
    <w:rsid w:val="005B472D"/>
    <w:rsid w:val="005B5C0F"/>
    <w:rsid w:val="005B5D9A"/>
    <w:rsid w:val="005B6DD1"/>
    <w:rsid w:val="005C0C3E"/>
    <w:rsid w:val="005C18BF"/>
    <w:rsid w:val="005C2169"/>
    <w:rsid w:val="005C4788"/>
    <w:rsid w:val="005C6818"/>
    <w:rsid w:val="005D0667"/>
    <w:rsid w:val="005D1096"/>
    <w:rsid w:val="005D2BAF"/>
    <w:rsid w:val="005D4DD6"/>
    <w:rsid w:val="005D5C84"/>
    <w:rsid w:val="005D7114"/>
    <w:rsid w:val="005D7F3F"/>
    <w:rsid w:val="005E1F47"/>
    <w:rsid w:val="005E2398"/>
    <w:rsid w:val="005E2907"/>
    <w:rsid w:val="005E2F0F"/>
    <w:rsid w:val="005E34A3"/>
    <w:rsid w:val="005E3925"/>
    <w:rsid w:val="005E3B49"/>
    <w:rsid w:val="005E42EA"/>
    <w:rsid w:val="005E4414"/>
    <w:rsid w:val="005E56C5"/>
    <w:rsid w:val="005E6127"/>
    <w:rsid w:val="005E6809"/>
    <w:rsid w:val="005E7CD0"/>
    <w:rsid w:val="005F00BE"/>
    <w:rsid w:val="005F09CC"/>
    <w:rsid w:val="005F0E5A"/>
    <w:rsid w:val="005F1ED7"/>
    <w:rsid w:val="005F2F8F"/>
    <w:rsid w:val="005F3D9A"/>
    <w:rsid w:val="005F58EE"/>
    <w:rsid w:val="005F5A90"/>
    <w:rsid w:val="005F5E60"/>
    <w:rsid w:val="005F5F56"/>
    <w:rsid w:val="005F7DF5"/>
    <w:rsid w:val="006001D6"/>
    <w:rsid w:val="00601583"/>
    <w:rsid w:val="00601791"/>
    <w:rsid w:val="00602E12"/>
    <w:rsid w:val="006045AC"/>
    <w:rsid w:val="00604A1A"/>
    <w:rsid w:val="00605CC4"/>
    <w:rsid w:val="006071D7"/>
    <w:rsid w:val="0060793F"/>
    <w:rsid w:val="00610257"/>
    <w:rsid w:val="0061091F"/>
    <w:rsid w:val="0061225E"/>
    <w:rsid w:val="00616F1E"/>
    <w:rsid w:val="00617541"/>
    <w:rsid w:val="00617607"/>
    <w:rsid w:val="00620081"/>
    <w:rsid w:val="006200DD"/>
    <w:rsid w:val="006215AA"/>
    <w:rsid w:val="00622900"/>
    <w:rsid w:val="00625968"/>
    <w:rsid w:val="00626A1D"/>
    <w:rsid w:val="00626A5E"/>
    <w:rsid w:val="006303E7"/>
    <w:rsid w:val="0063051C"/>
    <w:rsid w:val="00630EE8"/>
    <w:rsid w:val="006322EF"/>
    <w:rsid w:val="0063419B"/>
    <w:rsid w:val="00636FFD"/>
    <w:rsid w:val="0063700D"/>
    <w:rsid w:val="006414CE"/>
    <w:rsid w:val="006420FD"/>
    <w:rsid w:val="00643D70"/>
    <w:rsid w:val="0064739B"/>
    <w:rsid w:val="0065187B"/>
    <w:rsid w:val="006534E3"/>
    <w:rsid w:val="00655247"/>
    <w:rsid w:val="00655282"/>
    <w:rsid w:val="006552F3"/>
    <w:rsid w:val="006562C4"/>
    <w:rsid w:val="00656C33"/>
    <w:rsid w:val="00656CBF"/>
    <w:rsid w:val="00657DC2"/>
    <w:rsid w:val="00661ACA"/>
    <w:rsid w:val="00662789"/>
    <w:rsid w:val="00662A8D"/>
    <w:rsid w:val="006631E6"/>
    <w:rsid w:val="00663EEA"/>
    <w:rsid w:val="006641F6"/>
    <w:rsid w:val="006650F2"/>
    <w:rsid w:val="0066566D"/>
    <w:rsid w:val="00665CA6"/>
    <w:rsid w:val="00665E77"/>
    <w:rsid w:val="006723B4"/>
    <w:rsid w:val="006739EA"/>
    <w:rsid w:val="00677AE5"/>
    <w:rsid w:val="00680EDA"/>
    <w:rsid w:val="0068108E"/>
    <w:rsid w:val="00681423"/>
    <w:rsid w:val="00682309"/>
    <w:rsid w:val="0068381A"/>
    <w:rsid w:val="00685E91"/>
    <w:rsid w:val="006871F7"/>
    <w:rsid w:val="00690D4F"/>
    <w:rsid w:val="00693B97"/>
    <w:rsid w:val="00693D7A"/>
    <w:rsid w:val="0069574A"/>
    <w:rsid w:val="00696721"/>
    <w:rsid w:val="006973E0"/>
    <w:rsid w:val="006A05DE"/>
    <w:rsid w:val="006A10E6"/>
    <w:rsid w:val="006A1A6C"/>
    <w:rsid w:val="006A23F2"/>
    <w:rsid w:val="006A3042"/>
    <w:rsid w:val="006A30DD"/>
    <w:rsid w:val="006A6CD7"/>
    <w:rsid w:val="006A7DF7"/>
    <w:rsid w:val="006B06BC"/>
    <w:rsid w:val="006B0882"/>
    <w:rsid w:val="006B0DC5"/>
    <w:rsid w:val="006B18EC"/>
    <w:rsid w:val="006C0D89"/>
    <w:rsid w:val="006C162F"/>
    <w:rsid w:val="006C40F4"/>
    <w:rsid w:val="006C5A33"/>
    <w:rsid w:val="006C614E"/>
    <w:rsid w:val="006C701E"/>
    <w:rsid w:val="006C7D52"/>
    <w:rsid w:val="006D4913"/>
    <w:rsid w:val="006D4EC5"/>
    <w:rsid w:val="006D6614"/>
    <w:rsid w:val="006D698C"/>
    <w:rsid w:val="006E01BE"/>
    <w:rsid w:val="006E239E"/>
    <w:rsid w:val="006E41B1"/>
    <w:rsid w:val="006E659C"/>
    <w:rsid w:val="006E7F53"/>
    <w:rsid w:val="006F1FC6"/>
    <w:rsid w:val="006F2259"/>
    <w:rsid w:val="006F40F4"/>
    <w:rsid w:val="006F410E"/>
    <w:rsid w:val="006F4AC5"/>
    <w:rsid w:val="006F4B45"/>
    <w:rsid w:val="006F4C90"/>
    <w:rsid w:val="006F5447"/>
    <w:rsid w:val="006F65EB"/>
    <w:rsid w:val="00700075"/>
    <w:rsid w:val="0070056D"/>
    <w:rsid w:val="0070103E"/>
    <w:rsid w:val="007010DF"/>
    <w:rsid w:val="00701119"/>
    <w:rsid w:val="0070196F"/>
    <w:rsid w:val="00703D0C"/>
    <w:rsid w:val="007056FB"/>
    <w:rsid w:val="007061F3"/>
    <w:rsid w:val="007065D8"/>
    <w:rsid w:val="00706AFD"/>
    <w:rsid w:val="00706FFF"/>
    <w:rsid w:val="007079FF"/>
    <w:rsid w:val="00710E6B"/>
    <w:rsid w:val="007128F8"/>
    <w:rsid w:val="00714163"/>
    <w:rsid w:val="00714700"/>
    <w:rsid w:val="00714F68"/>
    <w:rsid w:val="007160D2"/>
    <w:rsid w:val="00716346"/>
    <w:rsid w:val="00716350"/>
    <w:rsid w:val="00717EB9"/>
    <w:rsid w:val="0072015D"/>
    <w:rsid w:val="0072021F"/>
    <w:rsid w:val="00721877"/>
    <w:rsid w:val="00722796"/>
    <w:rsid w:val="00722A4B"/>
    <w:rsid w:val="007232F7"/>
    <w:rsid w:val="00724558"/>
    <w:rsid w:val="00724C66"/>
    <w:rsid w:val="0072563C"/>
    <w:rsid w:val="0072590E"/>
    <w:rsid w:val="00725D63"/>
    <w:rsid w:val="00730087"/>
    <w:rsid w:val="00730142"/>
    <w:rsid w:val="00730807"/>
    <w:rsid w:val="00731252"/>
    <w:rsid w:val="00734706"/>
    <w:rsid w:val="00734935"/>
    <w:rsid w:val="00734A62"/>
    <w:rsid w:val="00734C85"/>
    <w:rsid w:val="0073542A"/>
    <w:rsid w:val="00735EEF"/>
    <w:rsid w:val="007362F0"/>
    <w:rsid w:val="007404A2"/>
    <w:rsid w:val="00740878"/>
    <w:rsid w:val="00742098"/>
    <w:rsid w:val="0074268E"/>
    <w:rsid w:val="007428AF"/>
    <w:rsid w:val="00743ED3"/>
    <w:rsid w:val="00744740"/>
    <w:rsid w:val="007467AB"/>
    <w:rsid w:val="00747F22"/>
    <w:rsid w:val="00750D34"/>
    <w:rsid w:val="00750D8D"/>
    <w:rsid w:val="007511B9"/>
    <w:rsid w:val="00752B16"/>
    <w:rsid w:val="007555E9"/>
    <w:rsid w:val="00755B9C"/>
    <w:rsid w:val="00756B39"/>
    <w:rsid w:val="00760859"/>
    <w:rsid w:val="00760D42"/>
    <w:rsid w:val="007615ED"/>
    <w:rsid w:val="00763CFC"/>
    <w:rsid w:val="00763E29"/>
    <w:rsid w:val="00764664"/>
    <w:rsid w:val="0076667C"/>
    <w:rsid w:val="00766877"/>
    <w:rsid w:val="00766A9D"/>
    <w:rsid w:val="00767C86"/>
    <w:rsid w:val="007704B9"/>
    <w:rsid w:val="00771A48"/>
    <w:rsid w:val="00772470"/>
    <w:rsid w:val="0077331E"/>
    <w:rsid w:val="00774DD5"/>
    <w:rsid w:val="00775876"/>
    <w:rsid w:val="0077692A"/>
    <w:rsid w:val="00776947"/>
    <w:rsid w:val="00777997"/>
    <w:rsid w:val="0078038D"/>
    <w:rsid w:val="0078383C"/>
    <w:rsid w:val="00783A9A"/>
    <w:rsid w:val="007852E6"/>
    <w:rsid w:val="00785C94"/>
    <w:rsid w:val="00786675"/>
    <w:rsid w:val="00786845"/>
    <w:rsid w:val="0078709B"/>
    <w:rsid w:val="00791790"/>
    <w:rsid w:val="00792A74"/>
    <w:rsid w:val="00794777"/>
    <w:rsid w:val="007955C9"/>
    <w:rsid w:val="00797141"/>
    <w:rsid w:val="00797464"/>
    <w:rsid w:val="00797474"/>
    <w:rsid w:val="007975F7"/>
    <w:rsid w:val="007A12A2"/>
    <w:rsid w:val="007A1A60"/>
    <w:rsid w:val="007A2DB8"/>
    <w:rsid w:val="007A32DD"/>
    <w:rsid w:val="007A3B40"/>
    <w:rsid w:val="007A4F57"/>
    <w:rsid w:val="007A505C"/>
    <w:rsid w:val="007B0712"/>
    <w:rsid w:val="007B3923"/>
    <w:rsid w:val="007B3D48"/>
    <w:rsid w:val="007B6208"/>
    <w:rsid w:val="007B7ED1"/>
    <w:rsid w:val="007C1823"/>
    <w:rsid w:val="007C3F52"/>
    <w:rsid w:val="007C7083"/>
    <w:rsid w:val="007C7614"/>
    <w:rsid w:val="007C7E39"/>
    <w:rsid w:val="007D132B"/>
    <w:rsid w:val="007D15CD"/>
    <w:rsid w:val="007D1B34"/>
    <w:rsid w:val="007D41B6"/>
    <w:rsid w:val="007D4370"/>
    <w:rsid w:val="007D4ED7"/>
    <w:rsid w:val="007D5416"/>
    <w:rsid w:val="007D6BFC"/>
    <w:rsid w:val="007D7005"/>
    <w:rsid w:val="007D7863"/>
    <w:rsid w:val="007E2D95"/>
    <w:rsid w:val="007E312E"/>
    <w:rsid w:val="007E6289"/>
    <w:rsid w:val="007E656D"/>
    <w:rsid w:val="007E6BA7"/>
    <w:rsid w:val="007E732B"/>
    <w:rsid w:val="007E7A07"/>
    <w:rsid w:val="007F0254"/>
    <w:rsid w:val="007F4D4E"/>
    <w:rsid w:val="007F58F3"/>
    <w:rsid w:val="007F5C94"/>
    <w:rsid w:val="007F68FF"/>
    <w:rsid w:val="00800802"/>
    <w:rsid w:val="00800D0F"/>
    <w:rsid w:val="00802A24"/>
    <w:rsid w:val="00803546"/>
    <w:rsid w:val="0080367E"/>
    <w:rsid w:val="0080498C"/>
    <w:rsid w:val="00805EA3"/>
    <w:rsid w:val="00805FD7"/>
    <w:rsid w:val="00807C7C"/>
    <w:rsid w:val="00810A57"/>
    <w:rsid w:val="00812B9B"/>
    <w:rsid w:val="00812C63"/>
    <w:rsid w:val="00813362"/>
    <w:rsid w:val="008134F9"/>
    <w:rsid w:val="00813A21"/>
    <w:rsid w:val="00816F10"/>
    <w:rsid w:val="00817C11"/>
    <w:rsid w:val="00820D31"/>
    <w:rsid w:val="0082292D"/>
    <w:rsid w:val="00822F9F"/>
    <w:rsid w:val="00823607"/>
    <w:rsid w:val="0082373E"/>
    <w:rsid w:val="008252E4"/>
    <w:rsid w:val="008263D2"/>
    <w:rsid w:val="0082756C"/>
    <w:rsid w:val="0083128D"/>
    <w:rsid w:val="008312AB"/>
    <w:rsid w:val="00833F36"/>
    <w:rsid w:val="00834EDE"/>
    <w:rsid w:val="0083535F"/>
    <w:rsid w:val="00837DCA"/>
    <w:rsid w:val="008417DD"/>
    <w:rsid w:val="00841CAC"/>
    <w:rsid w:val="00842FC1"/>
    <w:rsid w:val="0084308A"/>
    <w:rsid w:val="008446C1"/>
    <w:rsid w:val="00845594"/>
    <w:rsid w:val="00845C92"/>
    <w:rsid w:val="00846137"/>
    <w:rsid w:val="00850CD1"/>
    <w:rsid w:val="008517A6"/>
    <w:rsid w:val="00851DCB"/>
    <w:rsid w:val="00852218"/>
    <w:rsid w:val="00852F8A"/>
    <w:rsid w:val="0085309D"/>
    <w:rsid w:val="00853F75"/>
    <w:rsid w:val="0085469F"/>
    <w:rsid w:val="008560AD"/>
    <w:rsid w:val="00857208"/>
    <w:rsid w:val="00857829"/>
    <w:rsid w:val="008579DF"/>
    <w:rsid w:val="00860EFB"/>
    <w:rsid w:val="008708F7"/>
    <w:rsid w:val="00871609"/>
    <w:rsid w:val="00873E85"/>
    <w:rsid w:val="00874707"/>
    <w:rsid w:val="008747BF"/>
    <w:rsid w:val="0087493F"/>
    <w:rsid w:val="008749E9"/>
    <w:rsid w:val="008761FA"/>
    <w:rsid w:val="008763F3"/>
    <w:rsid w:val="0087672F"/>
    <w:rsid w:val="00877409"/>
    <w:rsid w:val="008806CC"/>
    <w:rsid w:val="00882D23"/>
    <w:rsid w:val="00883696"/>
    <w:rsid w:val="00885640"/>
    <w:rsid w:val="008857CA"/>
    <w:rsid w:val="00886586"/>
    <w:rsid w:val="008877E0"/>
    <w:rsid w:val="00887D12"/>
    <w:rsid w:val="00890353"/>
    <w:rsid w:val="008904D8"/>
    <w:rsid w:val="0089068D"/>
    <w:rsid w:val="0089483D"/>
    <w:rsid w:val="00894B7D"/>
    <w:rsid w:val="00894D6D"/>
    <w:rsid w:val="008952D2"/>
    <w:rsid w:val="0089603E"/>
    <w:rsid w:val="008969D4"/>
    <w:rsid w:val="0089724E"/>
    <w:rsid w:val="00897960"/>
    <w:rsid w:val="008A04BF"/>
    <w:rsid w:val="008A0F1C"/>
    <w:rsid w:val="008A18E4"/>
    <w:rsid w:val="008A3C94"/>
    <w:rsid w:val="008A4D2F"/>
    <w:rsid w:val="008A7D5D"/>
    <w:rsid w:val="008B2A09"/>
    <w:rsid w:val="008B3A75"/>
    <w:rsid w:val="008B4D33"/>
    <w:rsid w:val="008B6279"/>
    <w:rsid w:val="008B679A"/>
    <w:rsid w:val="008B6CF6"/>
    <w:rsid w:val="008C003B"/>
    <w:rsid w:val="008C038A"/>
    <w:rsid w:val="008C0DBD"/>
    <w:rsid w:val="008C0E2D"/>
    <w:rsid w:val="008C3AB6"/>
    <w:rsid w:val="008C3F01"/>
    <w:rsid w:val="008C4A25"/>
    <w:rsid w:val="008C79A7"/>
    <w:rsid w:val="008D01CC"/>
    <w:rsid w:val="008D1757"/>
    <w:rsid w:val="008D2184"/>
    <w:rsid w:val="008D2220"/>
    <w:rsid w:val="008D3D18"/>
    <w:rsid w:val="008D57EF"/>
    <w:rsid w:val="008E1928"/>
    <w:rsid w:val="008E3309"/>
    <w:rsid w:val="008E3F0B"/>
    <w:rsid w:val="008E550B"/>
    <w:rsid w:val="008E578E"/>
    <w:rsid w:val="008E6B17"/>
    <w:rsid w:val="008E7161"/>
    <w:rsid w:val="008E7708"/>
    <w:rsid w:val="008F194B"/>
    <w:rsid w:val="008F2CB2"/>
    <w:rsid w:val="008F40E3"/>
    <w:rsid w:val="008F5970"/>
    <w:rsid w:val="008F5DB5"/>
    <w:rsid w:val="008F7728"/>
    <w:rsid w:val="009005D3"/>
    <w:rsid w:val="00902EB0"/>
    <w:rsid w:val="0090485E"/>
    <w:rsid w:val="00906177"/>
    <w:rsid w:val="009065E3"/>
    <w:rsid w:val="009066B9"/>
    <w:rsid w:val="00906A8B"/>
    <w:rsid w:val="00910F4D"/>
    <w:rsid w:val="00911DC0"/>
    <w:rsid w:val="0091221A"/>
    <w:rsid w:val="009133BE"/>
    <w:rsid w:val="00915274"/>
    <w:rsid w:val="009152F8"/>
    <w:rsid w:val="009166E7"/>
    <w:rsid w:val="009168D9"/>
    <w:rsid w:val="00916BA8"/>
    <w:rsid w:val="00916BF1"/>
    <w:rsid w:val="0091742E"/>
    <w:rsid w:val="009205BE"/>
    <w:rsid w:val="00923FFB"/>
    <w:rsid w:val="0092453C"/>
    <w:rsid w:val="00924DE9"/>
    <w:rsid w:val="00925E26"/>
    <w:rsid w:val="009260AD"/>
    <w:rsid w:val="00926984"/>
    <w:rsid w:val="009323F3"/>
    <w:rsid w:val="00932424"/>
    <w:rsid w:val="00932C0F"/>
    <w:rsid w:val="00933670"/>
    <w:rsid w:val="00934090"/>
    <w:rsid w:val="00934534"/>
    <w:rsid w:val="0093556E"/>
    <w:rsid w:val="00935A8E"/>
    <w:rsid w:val="0093604B"/>
    <w:rsid w:val="00936422"/>
    <w:rsid w:val="00936FD2"/>
    <w:rsid w:val="009404AF"/>
    <w:rsid w:val="00940E45"/>
    <w:rsid w:val="00942434"/>
    <w:rsid w:val="00942673"/>
    <w:rsid w:val="0094387B"/>
    <w:rsid w:val="00945137"/>
    <w:rsid w:val="00946014"/>
    <w:rsid w:val="009462F3"/>
    <w:rsid w:val="00947626"/>
    <w:rsid w:val="00947EBE"/>
    <w:rsid w:val="009500EF"/>
    <w:rsid w:val="009518C7"/>
    <w:rsid w:val="00951C4F"/>
    <w:rsid w:val="00952F1B"/>
    <w:rsid w:val="009537DF"/>
    <w:rsid w:val="009558C0"/>
    <w:rsid w:val="00955E57"/>
    <w:rsid w:val="00956422"/>
    <w:rsid w:val="009610A4"/>
    <w:rsid w:val="00961B97"/>
    <w:rsid w:val="00961E8C"/>
    <w:rsid w:val="009629FD"/>
    <w:rsid w:val="00963FF5"/>
    <w:rsid w:val="00964803"/>
    <w:rsid w:val="00965AC0"/>
    <w:rsid w:val="00966A82"/>
    <w:rsid w:val="009670CA"/>
    <w:rsid w:val="00967335"/>
    <w:rsid w:val="00971C2C"/>
    <w:rsid w:val="00974A25"/>
    <w:rsid w:val="009773DA"/>
    <w:rsid w:val="00980CC9"/>
    <w:rsid w:val="00981353"/>
    <w:rsid w:val="00981A4E"/>
    <w:rsid w:val="00982A0F"/>
    <w:rsid w:val="00982EB2"/>
    <w:rsid w:val="00982F38"/>
    <w:rsid w:val="00983422"/>
    <w:rsid w:val="0098342B"/>
    <w:rsid w:val="0098346C"/>
    <w:rsid w:val="00984657"/>
    <w:rsid w:val="00985794"/>
    <w:rsid w:val="009866CB"/>
    <w:rsid w:val="00987192"/>
    <w:rsid w:val="009877A1"/>
    <w:rsid w:val="009879ED"/>
    <w:rsid w:val="00990C92"/>
    <w:rsid w:val="00993320"/>
    <w:rsid w:val="00993D86"/>
    <w:rsid w:val="00993DAA"/>
    <w:rsid w:val="00995517"/>
    <w:rsid w:val="009A176F"/>
    <w:rsid w:val="009A55F5"/>
    <w:rsid w:val="009A5612"/>
    <w:rsid w:val="009A5ED2"/>
    <w:rsid w:val="009A69F8"/>
    <w:rsid w:val="009A6D41"/>
    <w:rsid w:val="009A71B6"/>
    <w:rsid w:val="009A7F98"/>
    <w:rsid w:val="009B0E1D"/>
    <w:rsid w:val="009B15B2"/>
    <w:rsid w:val="009B170E"/>
    <w:rsid w:val="009B2731"/>
    <w:rsid w:val="009B4247"/>
    <w:rsid w:val="009B5661"/>
    <w:rsid w:val="009B6927"/>
    <w:rsid w:val="009B71AD"/>
    <w:rsid w:val="009C05DC"/>
    <w:rsid w:val="009C0737"/>
    <w:rsid w:val="009C088B"/>
    <w:rsid w:val="009C0BE4"/>
    <w:rsid w:val="009C0D9E"/>
    <w:rsid w:val="009C1F6C"/>
    <w:rsid w:val="009C45EC"/>
    <w:rsid w:val="009C6121"/>
    <w:rsid w:val="009C63FB"/>
    <w:rsid w:val="009C69B5"/>
    <w:rsid w:val="009C6DF7"/>
    <w:rsid w:val="009D0BF4"/>
    <w:rsid w:val="009D0D21"/>
    <w:rsid w:val="009D120E"/>
    <w:rsid w:val="009D1230"/>
    <w:rsid w:val="009D1A4F"/>
    <w:rsid w:val="009D1C7D"/>
    <w:rsid w:val="009D35F5"/>
    <w:rsid w:val="009D43C6"/>
    <w:rsid w:val="009D479F"/>
    <w:rsid w:val="009D4990"/>
    <w:rsid w:val="009D5481"/>
    <w:rsid w:val="009D5890"/>
    <w:rsid w:val="009D6EFB"/>
    <w:rsid w:val="009D7944"/>
    <w:rsid w:val="009D7A49"/>
    <w:rsid w:val="009E03DD"/>
    <w:rsid w:val="009E08C8"/>
    <w:rsid w:val="009E091A"/>
    <w:rsid w:val="009E198B"/>
    <w:rsid w:val="009E1D1A"/>
    <w:rsid w:val="009E34FF"/>
    <w:rsid w:val="009E4C88"/>
    <w:rsid w:val="009E5030"/>
    <w:rsid w:val="009E7671"/>
    <w:rsid w:val="009E7B27"/>
    <w:rsid w:val="009F08B9"/>
    <w:rsid w:val="009F0DBE"/>
    <w:rsid w:val="009F13F1"/>
    <w:rsid w:val="009F2209"/>
    <w:rsid w:val="009F26A8"/>
    <w:rsid w:val="009F2C31"/>
    <w:rsid w:val="009F2E44"/>
    <w:rsid w:val="009F36FC"/>
    <w:rsid w:val="009F3E03"/>
    <w:rsid w:val="009F4C0F"/>
    <w:rsid w:val="009F4D9F"/>
    <w:rsid w:val="00A00E94"/>
    <w:rsid w:val="00A027C1"/>
    <w:rsid w:val="00A0420A"/>
    <w:rsid w:val="00A04444"/>
    <w:rsid w:val="00A04DC9"/>
    <w:rsid w:val="00A06E15"/>
    <w:rsid w:val="00A073F1"/>
    <w:rsid w:val="00A07FF6"/>
    <w:rsid w:val="00A10C67"/>
    <w:rsid w:val="00A119BD"/>
    <w:rsid w:val="00A12016"/>
    <w:rsid w:val="00A12B05"/>
    <w:rsid w:val="00A12B21"/>
    <w:rsid w:val="00A15FE8"/>
    <w:rsid w:val="00A161A0"/>
    <w:rsid w:val="00A16984"/>
    <w:rsid w:val="00A17B59"/>
    <w:rsid w:val="00A208E4"/>
    <w:rsid w:val="00A22D12"/>
    <w:rsid w:val="00A23A55"/>
    <w:rsid w:val="00A2403A"/>
    <w:rsid w:val="00A24622"/>
    <w:rsid w:val="00A24FBD"/>
    <w:rsid w:val="00A250F2"/>
    <w:rsid w:val="00A27E30"/>
    <w:rsid w:val="00A32C24"/>
    <w:rsid w:val="00A352CB"/>
    <w:rsid w:val="00A364AA"/>
    <w:rsid w:val="00A36637"/>
    <w:rsid w:val="00A37836"/>
    <w:rsid w:val="00A379C7"/>
    <w:rsid w:val="00A37AC1"/>
    <w:rsid w:val="00A37BB1"/>
    <w:rsid w:val="00A37D2A"/>
    <w:rsid w:val="00A40388"/>
    <w:rsid w:val="00A41BF2"/>
    <w:rsid w:val="00A43E32"/>
    <w:rsid w:val="00A44BE0"/>
    <w:rsid w:val="00A44E99"/>
    <w:rsid w:val="00A4528C"/>
    <w:rsid w:val="00A46007"/>
    <w:rsid w:val="00A47DC8"/>
    <w:rsid w:val="00A508AF"/>
    <w:rsid w:val="00A52958"/>
    <w:rsid w:val="00A52CAA"/>
    <w:rsid w:val="00A5386A"/>
    <w:rsid w:val="00A5586C"/>
    <w:rsid w:val="00A56341"/>
    <w:rsid w:val="00A56C95"/>
    <w:rsid w:val="00A57255"/>
    <w:rsid w:val="00A57591"/>
    <w:rsid w:val="00A607EE"/>
    <w:rsid w:val="00A60FD7"/>
    <w:rsid w:val="00A63426"/>
    <w:rsid w:val="00A634A9"/>
    <w:rsid w:val="00A636AF"/>
    <w:rsid w:val="00A6488F"/>
    <w:rsid w:val="00A6721C"/>
    <w:rsid w:val="00A70CEB"/>
    <w:rsid w:val="00A70DA0"/>
    <w:rsid w:val="00A710D4"/>
    <w:rsid w:val="00A71DDE"/>
    <w:rsid w:val="00A7272E"/>
    <w:rsid w:val="00A73111"/>
    <w:rsid w:val="00A734B0"/>
    <w:rsid w:val="00A73668"/>
    <w:rsid w:val="00A73C63"/>
    <w:rsid w:val="00A7464F"/>
    <w:rsid w:val="00A7499C"/>
    <w:rsid w:val="00A802C7"/>
    <w:rsid w:val="00A803D2"/>
    <w:rsid w:val="00A8160E"/>
    <w:rsid w:val="00A8382E"/>
    <w:rsid w:val="00A83DD3"/>
    <w:rsid w:val="00A84A6B"/>
    <w:rsid w:val="00A84AE5"/>
    <w:rsid w:val="00A90D71"/>
    <w:rsid w:val="00A90E6C"/>
    <w:rsid w:val="00A91C41"/>
    <w:rsid w:val="00A9222C"/>
    <w:rsid w:val="00A94352"/>
    <w:rsid w:val="00A97D09"/>
    <w:rsid w:val="00AA2287"/>
    <w:rsid w:val="00AA3732"/>
    <w:rsid w:val="00AA3E72"/>
    <w:rsid w:val="00AA7422"/>
    <w:rsid w:val="00AA7FCE"/>
    <w:rsid w:val="00AB01FA"/>
    <w:rsid w:val="00AB0E9A"/>
    <w:rsid w:val="00AB1327"/>
    <w:rsid w:val="00AB2208"/>
    <w:rsid w:val="00AB292B"/>
    <w:rsid w:val="00AB3436"/>
    <w:rsid w:val="00AB47DC"/>
    <w:rsid w:val="00AB4AEA"/>
    <w:rsid w:val="00AB50A5"/>
    <w:rsid w:val="00AB5A03"/>
    <w:rsid w:val="00AB5CE3"/>
    <w:rsid w:val="00AB66B2"/>
    <w:rsid w:val="00AB7884"/>
    <w:rsid w:val="00AC0F5B"/>
    <w:rsid w:val="00AC2788"/>
    <w:rsid w:val="00AC2D29"/>
    <w:rsid w:val="00AC3356"/>
    <w:rsid w:val="00AC3841"/>
    <w:rsid w:val="00AC3FC7"/>
    <w:rsid w:val="00AC4085"/>
    <w:rsid w:val="00AC46EE"/>
    <w:rsid w:val="00AC59A7"/>
    <w:rsid w:val="00AD1FF6"/>
    <w:rsid w:val="00AD2955"/>
    <w:rsid w:val="00AD2C46"/>
    <w:rsid w:val="00AD36F5"/>
    <w:rsid w:val="00AD3D05"/>
    <w:rsid w:val="00AD7E55"/>
    <w:rsid w:val="00AE0806"/>
    <w:rsid w:val="00AE15E7"/>
    <w:rsid w:val="00AE3271"/>
    <w:rsid w:val="00AE3F33"/>
    <w:rsid w:val="00AE51ED"/>
    <w:rsid w:val="00AE68D7"/>
    <w:rsid w:val="00AE79FF"/>
    <w:rsid w:val="00AE7AFF"/>
    <w:rsid w:val="00AF0500"/>
    <w:rsid w:val="00AF20D9"/>
    <w:rsid w:val="00AF2471"/>
    <w:rsid w:val="00AF2E51"/>
    <w:rsid w:val="00AF2F98"/>
    <w:rsid w:val="00AF60A9"/>
    <w:rsid w:val="00AF798D"/>
    <w:rsid w:val="00B00B21"/>
    <w:rsid w:val="00B01691"/>
    <w:rsid w:val="00B02808"/>
    <w:rsid w:val="00B03474"/>
    <w:rsid w:val="00B034F9"/>
    <w:rsid w:val="00B03BB8"/>
    <w:rsid w:val="00B04725"/>
    <w:rsid w:val="00B051A3"/>
    <w:rsid w:val="00B066A2"/>
    <w:rsid w:val="00B10541"/>
    <w:rsid w:val="00B1197E"/>
    <w:rsid w:val="00B12AE6"/>
    <w:rsid w:val="00B16290"/>
    <w:rsid w:val="00B20DE0"/>
    <w:rsid w:val="00B22D16"/>
    <w:rsid w:val="00B2322F"/>
    <w:rsid w:val="00B2536C"/>
    <w:rsid w:val="00B25965"/>
    <w:rsid w:val="00B25CD5"/>
    <w:rsid w:val="00B26A28"/>
    <w:rsid w:val="00B30085"/>
    <w:rsid w:val="00B30350"/>
    <w:rsid w:val="00B30AAC"/>
    <w:rsid w:val="00B30F6A"/>
    <w:rsid w:val="00B31BD5"/>
    <w:rsid w:val="00B34A02"/>
    <w:rsid w:val="00B35EDC"/>
    <w:rsid w:val="00B3722B"/>
    <w:rsid w:val="00B408A5"/>
    <w:rsid w:val="00B409F0"/>
    <w:rsid w:val="00B40FFF"/>
    <w:rsid w:val="00B418CA"/>
    <w:rsid w:val="00B41A54"/>
    <w:rsid w:val="00B42634"/>
    <w:rsid w:val="00B42F75"/>
    <w:rsid w:val="00B47472"/>
    <w:rsid w:val="00B47B01"/>
    <w:rsid w:val="00B51459"/>
    <w:rsid w:val="00B53950"/>
    <w:rsid w:val="00B54163"/>
    <w:rsid w:val="00B56D57"/>
    <w:rsid w:val="00B60D0B"/>
    <w:rsid w:val="00B61C37"/>
    <w:rsid w:val="00B6200E"/>
    <w:rsid w:val="00B624A7"/>
    <w:rsid w:val="00B63AD5"/>
    <w:rsid w:val="00B63BAF"/>
    <w:rsid w:val="00B65878"/>
    <w:rsid w:val="00B66F7F"/>
    <w:rsid w:val="00B70B31"/>
    <w:rsid w:val="00B72600"/>
    <w:rsid w:val="00B749B5"/>
    <w:rsid w:val="00B751B7"/>
    <w:rsid w:val="00B756E0"/>
    <w:rsid w:val="00B75749"/>
    <w:rsid w:val="00B75DC8"/>
    <w:rsid w:val="00B7670F"/>
    <w:rsid w:val="00B775F4"/>
    <w:rsid w:val="00B8020F"/>
    <w:rsid w:val="00B8179E"/>
    <w:rsid w:val="00B81A18"/>
    <w:rsid w:val="00B81FB2"/>
    <w:rsid w:val="00B828B0"/>
    <w:rsid w:val="00B82C5A"/>
    <w:rsid w:val="00B8382B"/>
    <w:rsid w:val="00B85030"/>
    <w:rsid w:val="00B869EC"/>
    <w:rsid w:val="00B86A6D"/>
    <w:rsid w:val="00B86C31"/>
    <w:rsid w:val="00B921E3"/>
    <w:rsid w:val="00B92485"/>
    <w:rsid w:val="00B92E93"/>
    <w:rsid w:val="00B93985"/>
    <w:rsid w:val="00B94703"/>
    <w:rsid w:val="00B94822"/>
    <w:rsid w:val="00B959CB"/>
    <w:rsid w:val="00B96912"/>
    <w:rsid w:val="00BA1F67"/>
    <w:rsid w:val="00BA30AE"/>
    <w:rsid w:val="00BA3DCD"/>
    <w:rsid w:val="00BA5CCE"/>
    <w:rsid w:val="00BA5E44"/>
    <w:rsid w:val="00BA67B9"/>
    <w:rsid w:val="00BA6C81"/>
    <w:rsid w:val="00BA741D"/>
    <w:rsid w:val="00BB0068"/>
    <w:rsid w:val="00BB2304"/>
    <w:rsid w:val="00BB2673"/>
    <w:rsid w:val="00BB2ACF"/>
    <w:rsid w:val="00BB41A5"/>
    <w:rsid w:val="00BB42FE"/>
    <w:rsid w:val="00BB5057"/>
    <w:rsid w:val="00BB537B"/>
    <w:rsid w:val="00BB76EF"/>
    <w:rsid w:val="00BC293F"/>
    <w:rsid w:val="00BC4A09"/>
    <w:rsid w:val="00BC54AA"/>
    <w:rsid w:val="00BC68FE"/>
    <w:rsid w:val="00BC6D25"/>
    <w:rsid w:val="00BC7EE6"/>
    <w:rsid w:val="00BD04A0"/>
    <w:rsid w:val="00BD0502"/>
    <w:rsid w:val="00BD0A00"/>
    <w:rsid w:val="00BD16F5"/>
    <w:rsid w:val="00BD25C9"/>
    <w:rsid w:val="00BD267F"/>
    <w:rsid w:val="00BD3043"/>
    <w:rsid w:val="00BD313F"/>
    <w:rsid w:val="00BD6415"/>
    <w:rsid w:val="00BE182D"/>
    <w:rsid w:val="00BE1CA3"/>
    <w:rsid w:val="00BE2FC2"/>
    <w:rsid w:val="00BF04AF"/>
    <w:rsid w:val="00BF1F5E"/>
    <w:rsid w:val="00BF4272"/>
    <w:rsid w:val="00BF4F46"/>
    <w:rsid w:val="00BF513D"/>
    <w:rsid w:val="00C00C20"/>
    <w:rsid w:val="00C03880"/>
    <w:rsid w:val="00C03C85"/>
    <w:rsid w:val="00C0412E"/>
    <w:rsid w:val="00C11035"/>
    <w:rsid w:val="00C1216E"/>
    <w:rsid w:val="00C12DAD"/>
    <w:rsid w:val="00C13308"/>
    <w:rsid w:val="00C13488"/>
    <w:rsid w:val="00C134E1"/>
    <w:rsid w:val="00C14912"/>
    <w:rsid w:val="00C14A42"/>
    <w:rsid w:val="00C14FB9"/>
    <w:rsid w:val="00C15569"/>
    <w:rsid w:val="00C16235"/>
    <w:rsid w:val="00C23037"/>
    <w:rsid w:val="00C24465"/>
    <w:rsid w:val="00C24B4E"/>
    <w:rsid w:val="00C30D65"/>
    <w:rsid w:val="00C3175B"/>
    <w:rsid w:val="00C3297A"/>
    <w:rsid w:val="00C32E67"/>
    <w:rsid w:val="00C32FC5"/>
    <w:rsid w:val="00C3384B"/>
    <w:rsid w:val="00C33C5D"/>
    <w:rsid w:val="00C3429E"/>
    <w:rsid w:val="00C343E4"/>
    <w:rsid w:val="00C34B52"/>
    <w:rsid w:val="00C365B4"/>
    <w:rsid w:val="00C374BE"/>
    <w:rsid w:val="00C4087C"/>
    <w:rsid w:val="00C41101"/>
    <w:rsid w:val="00C41567"/>
    <w:rsid w:val="00C41E31"/>
    <w:rsid w:val="00C42336"/>
    <w:rsid w:val="00C42356"/>
    <w:rsid w:val="00C42DFF"/>
    <w:rsid w:val="00C42F43"/>
    <w:rsid w:val="00C4348F"/>
    <w:rsid w:val="00C439EC"/>
    <w:rsid w:val="00C4471A"/>
    <w:rsid w:val="00C45009"/>
    <w:rsid w:val="00C45736"/>
    <w:rsid w:val="00C459C4"/>
    <w:rsid w:val="00C46DB2"/>
    <w:rsid w:val="00C50B9A"/>
    <w:rsid w:val="00C51EAA"/>
    <w:rsid w:val="00C51FD7"/>
    <w:rsid w:val="00C52091"/>
    <w:rsid w:val="00C5355E"/>
    <w:rsid w:val="00C5400C"/>
    <w:rsid w:val="00C56730"/>
    <w:rsid w:val="00C56C63"/>
    <w:rsid w:val="00C57432"/>
    <w:rsid w:val="00C60F2E"/>
    <w:rsid w:val="00C61501"/>
    <w:rsid w:val="00C62217"/>
    <w:rsid w:val="00C65253"/>
    <w:rsid w:val="00C71387"/>
    <w:rsid w:val="00C71738"/>
    <w:rsid w:val="00C735F6"/>
    <w:rsid w:val="00C75361"/>
    <w:rsid w:val="00C75D3A"/>
    <w:rsid w:val="00C7637B"/>
    <w:rsid w:val="00C765A0"/>
    <w:rsid w:val="00C76BB0"/>
    <w:rsid w:val="00C7755C"/>
    <w:rsid w:val="00C776B0"/>
    <w:rsid w:val="00C80AC4"/>
    <w:rsid w:val="00C8127C"/>
    <w:rsid w:val="00C81F28"/>
    <w:rsid w:val="00C82319"/>
    <w:rsid w:val="00C83100"/>
    <w:rsid w:val="00C8359D"/>
    <w:rsid w:val="00C83814"/>
    <w:rsid w:val="00C83E4A"/>
    <w:rsid w:val="00C84EBF"/>
    <w:rsid w:val="00C85451"/>
    <w:rsid w:val="00C86F1F"/>
    <w:rsid w:val="00C9261E"/>
    <w:rsid w:val="00C946B0"/>
    <w:rsid w:val="00C947A7"/>
    <w:rsid w:val="00C94BA8"/>
    <w:rsid w:val="00C96C8D"/>
    <w:rsid w:val="00CA160D"/>
    <w:rsid w:val="00CA1933"/>
    <w:rsid w:val="00CA1FB9"/>
    <w:rsid w:val="00CA22E3"/>
    <w:rsid w:val="00CA2D17"/>
    <w:rsid w:val="00CA4FA2"/>
    <w:rsid w:val="00CA5162"/>
    <w:rsid w:val="00CA7D32"/>
    <w:rsid w:val="00CB1AA0"/>
    <w:rsid w:val="00CB31A8"/>
    <w:rsid w:val="00CB3DA7"/>
    <w:rsid w:val="00CB4697"/>
    <w:rsid w:val="00CB6B8B"/>
    <w:rsid w:val="00CB6C66"/>
    <w:rsid w:val="00CB7FC9"/>
    <w:rsid w:val="00CC1354"/>
    <w:rsid w:val="00CC1E35"/>
    <w:rsid w:val="00CC291F"/>
    <w:rsid w:val="00CC30C3"/>
    <w:rsid w:val="00CC36DC"/>
    <w:rsid w:val="00CC5A5E"/>
    <w:rsid w:val="00CC5DBD"/>
    <w:rsid w:val="00CC6748"/>
    <w:rsid w:val="00CC6DAB"/>
    <w:rsid w:val="00CD0249"/>
    <w:rsid w:val="00CD10C5"/>
    <w:rsid w:val="00CD2E57"/>
    <w:rsid w:val="00CD3D85"/>
    <w:rsid w:val="00CD3E48"/>
    <w:rsid w:val="00CD5BEB"/>
    <w:rsid w:val="00CD5E0A"/>
    <w:rsid w:val="00CD6A30"/>
    <w:rsid w:val="00CD6E73"/>
    <w:rsid w:val="00CD74CE"/>
    <w:rsid w:val="00CD7A94"/>
    <w:rsid w:val="00CE0D4C"/>
    <w:rsid w:val="00CE1364"/>
    <w:rsid w:val="00CE1F61"/>
    <w:rsid w:val="00CE307A"/>
    <w:rsid w:val="00CE5609"/>
    <w:rsid w:val="00CE638A"/>
    <w:rsid w:val="00CE76F5"/>
    <w:rsid w:val="00CF5344"/>
    <w:rsid w:val="00CF5E97"/>
    <w:rsid w:val="00CF6E6C"/>
    <w:rsid w:val="00CF73F0"/>
    <w:rsid w:val="00D00F9A"/>
    <w:rsid w:val="00D011C2"/>
    <w:rsid w:val="00D01EF0"/>
    <w:rsid w:val="00D03EA6"/>
    <w:rsid w:val="00D04D23"/>
    <w:rsid w:val="00D0553F"/>
    <w:rsid w:val="00D057C5"/>
    <w:rsid w:val="00D05926"/>
    <w:rsid w:val="00D05D56"/>
    <w:rsid w:val="00D064A6"/>
    <w:rsid w:val="00D06B69"/>
    <w:rsid w:val="00D11BC0"/>
    <w:rsid w:val="00D120A0"/>
    <w:rsid w:val="00D1708B"/>
    <w:rsid w:val="00D2019F"/>
    <w:rsid w:val="00D21090"/>
    <w:rsid w:val="00D22440"/>
    <w:rsid w:val="00D2444C"/>
    <w:rsid w:val="00D24827"/>
    <w:rsid w:val="00D26ECF"/>
    <w:rsid w:val="00D27764"/>
    <w:rsid w:val="00D277E4"/>
    <w:rsid w:val="00D30620"/>
    <w:rsid w:val="00D30CFA"/>
    <w:rsid w:val="00D313A8"/>
    <w:rsid w:val="00D31B46"/>
    <w:rsid w:val="00D33670"/>
    <w:rsid w:val="00D34FE3"/>
    <w:rsid w:val="00D35722"/>
    <w:rsid w:val="00D409CE"/>
    <w:rsid w:val="00D41058"/>
    <w:rsid w:val="00D42EC6"/>
    <w:rsid w:val="00D435FC"/>
    <w:rsid w:val="00D43741"/>
    <w:rsid w:val="00D43A26"/>
    <w:rsid w:val="00D44DC4"/>
    <w:rsid w:val="00D46147"/>
    <w:rsid w:val="00D465CC"/>
    <w:rsid w:val="00D465EB"/>
    <w:rsid w:val="00D4696C"/>
    <w:rsid w:val="00D46EFF"/>
    <w:rsid w:val="00D50836"/>
    <w:rsid w:val="00D50B94"/>
    <w:rsid w:val="00D52CCE"/>
    <w:rsid w:val="00D53AD0"/>
    <w:rsid w:val="00D54B72"/>
    <w:rsid w:val="00D55096"/>
    <w:rsid w:val="00D553C9"/>
    <w:rsid w:val="00D556B4"/>
    <w:rsid w:val="00D5727F"/>
    <w:rsid w:val="00D60310"/>
    <w:rsid w:val="00D61A9B"/>
    <w:rsid w:val="00D62118"/>
    <w:rsid w:val="00D641D1"/>
    <w:rsid w:val="00D64AD0"/>
    <w:rsid w:val="00D671F8"/>
    <w:rsid w:val="00D67461"/>
    <w:rsid w:val="00D71625"/>
    <w:rsid w:val="00D7165F"/>
    <w:rsid w:val="00D727C4"/>
    <w:rsid w:val="00D728E8"/>
    <w:rsid w:val="00D747E8"/>
    <w:rsid w:val="00D76765"/>
    <w:rsid w:val="00D7753E"/>
    <w:rsid w:val="00D8095E"/>
    <w:rsid w:val="00D8117A"/>
    <w:rsid w:val="00D81479"/>
    <w:rsid w:val="00D83D4B"/>
    <w:rsid w:val="00D84068"/>
    <w:rsid w:val="00D85502"/>
    <w:rsid w:val="00D85A9B"/>
    <w:rsid w:val="00D85AD7"/>
    <w:rsid w:val="00D87BD2"/>
    <w:rsid w:val="00D87CEF"/>
    <w:rsid w:val="00D910A6"/>
    <w:rsid w:val="00D91201"/>
    <w:rsid w:val="00D93E8B"/>
    <w:rsid w:val="00D9787F"/>
    <w:rsid w:val="00D97C0D"/>
    <w:rsid w:val="00D97E07"/>
    <w:rsid w:val="00D97FBD"/>
    <w:rsid w:val="00DA1A64"/>
    <w:rsid w:val="00DA23DA"/>
    <w:rsid w:val="00DA32B3"/>
    <w:rsid w:val="00DA579A"/>
    <w:rsid w:val="00DA5F30"/>
    <w:rsid w:val="00DB2007"/>
    <w:rsid w:val="00DB263B"/>
    <w:rsid w:val="00DB276B"/>
    <w:rsid w:val="00DB2A16"/>
    <w:rsid w:val="00DB3EBF"/>
    <w:rsid w:val="00DB4FB5"/>
    <w:rsid w:val="00DB6FC1"/>
    <w:rsid w:val="00DB74A9"/>
    <w:rsid w:val="00DB7C7B"/>
    <w:rsid w:val="00DC02DB"/>
    <w:rsid w:val="00DC03D1"/>
    <w:rsid w:val="00DC0B93"/>
    <w:rsid w:val="00DC0BA9"/>
    <w:rsid w:val="00DC109A"/>
    <w:rsid w:val="00DC2113"/>
    <w:rsid w:val="00DC27EF"/>
    <w:rsid w:val="00DC2C40"/>
    <w:rsid w:val="00DC4095"/>
    <w:rsid w:val="00DC4AC2"/>
    <w:rsid w:val="00DC746E"/>
    <w:rsid w:val="00DD033E"/>
    <w:rsid w:val="00DD060C"/>
    <w:rsid w:val="00DD1099"/>
    <w:rsid w:val="00DD16F1"/>
    <w:rsid w:val="00DD34A9"/>
    <w:rsid w:val="00DD3B69"/>
    <w:rsid w:val="00DD526F"/>
    <w:rsid w:val="00DD56FF"/>
    <w:rsid w:val="00DD6A1E"/>
    <w:rsid w:val="00DD6D38"/>
    <w:rsid w:val="00DD6D4C"/>
    <w:rsid w:val="00DD6DB1"/>
    <w:rsid w:val="00DD7165"/>
    <w:rsid w:val="00DD7C6D"/>
    <w:rsid w:val="00DE143F"/>
    <w:rsid w:val="00DE1861"/>
    <w:rsid w:val="00DE2301"/>
    <w:rsid w:val="00DE3BE6"/>
    <w:rsid w:val="00DE4A14"/>
    <w:rsid w:val="00DE64F3"/>
    <w:rsid w:val="00DE7C4B"/>
    <w:rsid w:val="00DF033B"/>
    <w:rsid w:val="00DF13CB"/>
    <w:rsid w:val="00DF14A4"/>
    <w:rsid w:val="00DF361B"/>
    <w:rsid w:val="00DF53C5"/>
    <w:rsid w:val="00DF5BDC"/>
    <w:rsid w:val="00DF5C99"/>
    <w:rsid w:val="00DF7129"/>
    <w:rsid w:val="00DF7F9A"/>
    <w:rsid w:val="00E00B4B"/>
    <w:rsid w:val="00E00EE5"/>
    <w:rsid w:val="00E01216"/>
    <w:rsid w:val="00E01A5F"/>
    <w:rsid w:val="00E01FB2"/>
    <w:rsid w:val="00E03D7C"/>
    <w:rsid w:val="00E03F74"/>
    <w:rsid w:val="00E04F74"/>
    <w:rsid w:val="00E0567C"/>
    <w:rsid w:val="00E05B73"/>
    <w:rsid w:val="00E06475"/>
    <w:rsid w:val="00E07738"/>
    <w:rsid w:val="00E1205E"/>
    <w:rsid w:val="00E14F66"/>
    <w:rsid w:val="00E15B03"/>
    <w:rsid w:val="00E16377"/>
    <w:rsid w:val="00E174E0"/>
    <w:rsid w:val="00E17EAE"/>
    <w:rsid w:val="00E17F88"/>
    <w:rsid w:val="00E200CC"/>
    <w:rsid w:val="00E20FA0"/>
    <w:rsid w:val="00E219FC"/>
    <w:rsid w:val="00E21DC8"/>
    <w:rsid w:val="00E2227F"/>
    <w:rsid w:val="00E22C0E"/>
    <w:rsid w:val="00E23B04"/>
    <w:rsid w:val="00E23F97"/>
    <w:rsid w:val="00E25836"/>
    <w:rsid w:val="00E275CD"/>
    <w:rsid w:val="00E27B83"/>
    <w:rsid w:val="00E34F6F"/>
    <w:rsid w:val="00E35560"/>
    <w:rsid w:val="00E37A0F"/>
    <w:rsid w:val="00E4039A"/>
    <w:rsid w:val="00E40DD8"/>
    <w:rsid w:val="00E415D1"/>
    <w:rsid w:val="00E42B7D"/>
    <w:rsid w:val="00E42FF8"/>
    <w:rsid w:val="00E431BD"/>
    <w:rsid w:val="00E501A2"/>
    <w:rsid w:val="00E50A9A"/>
    <w:rsid w:val="00E523F4"/>
    <w:rsid w:val="00E54B76"/>
    <w:rsid w:val="00E60CD4"/>
    <w:rsid w:val="00E6176C"/>
    <w:rsid w:val="00E61EA7"/>
    <w:rsid w:val="00E624EA"/>
    <w:rsid w:val="00E6320B"/>
    <w:rsid w:val="00E63869"/>
    <w:rsid w:val="00E64291"/>
    <w:rsid w:val="00E64FCD"/>
    <w:rsid w:val="00E66A89"/>
    <w:rsid w:val="00E66BC2"/>
    <w:rsid w:val="00E70509"/>
    <w:rsid w:val="00E7058C"/>
    <w:rsid w:val="00E7158B"/>
    <w:rsid w:val="00E71E60"/>
    <w:rsid w:val="00E72D1F"/>
    <w:rsid w:val="00E72F37"/>
    <w:rsid w:val="00E73E9E"/>
    <w:rsid w:val="00E73FD3"/>
    <w:rsid w:val="00E74500"/>
    <w:rsid w:val="00E755D3"/>
    <w:rsid w:val="00E77817"/>
    <w:rsid w:val="00E800AB"/>
    <w:rsid w:val="00E802CC"/>
    <w:rsid w:val="00E8078C"/>
    <w:rsid w:val="00E826BD"/>
    <w:rsid w:val="00E8309D"/>
    <w:rsid w:val="00E83421"/>
    <w:rsid w:val="00E83D34"/>
    <w:rsid w:val="00E83DF5"/>
    <w:rsid w:val="00E8743C"/>
    <w:rsid w:val="00E87CF4"/>
    <w:rsid w:val="00E909C9"/>
    <w:rsid w:val="00E91799"/>
    <w:rsid w:val="00E92829"/>
    <w:rsid w:val="00E92CC8"/>
    <w:rsid w:val="00E92E34"/>
    <w:rsid w:val="00E95E65"/>
    <w:rsid w:val="00E963C7"/>
    <w:rsid w:val="00E972E0"/>
    <w:rsid w:val="00EA0D11"/>
    <w:rsid w:val="00EA1BC9"/>
    <w:rsid w:val="00EA2189"/>
    <w:rsid w:val="00EA2CB2"/>
    <w:rsid w:val="00EA2D61"/>
    <w:rsid w:val="00EA4E92"/>
    <w:rsid w:val="00EA5DDB"/>
    <w:rsid w:val="00EA77B6"/>
    <w:rsid w:val="00EA7849"/>
    <w:rsid w:val="00EB0386"/>
    <w:rsid w:val="00EB071F"/>
    <w:rsid w:val="00EB0A92"/>
    <w:rsid w:val="00EB161A"/>
    <w:rsid w:val="00EB1D3A"/>
    <w:rsid w:val="00EB4E2C"/>
    <w:rsid w:val="00EB6009"/>
    <w:rsid w:val="00EC07AA"/>
    <w:rsid w:val="00EC0D4F"/>
    <w:rsid w:val="00EC2235"/>
    <w:rsid w:val="00EC5F23"/>
    <w:rsid w:val="00EC700A"/>
    <w:rsid w:val="00ED0147"/>
    <w:rsid w:val="00ED06FD"/>
    <w:rsid w:val="00ED076C"/>
    <w:rsid w:val="00ED0C12"/>
    <w:rsid w:val="00ED1258"/>
    <w:rsid w:val="00ED1F51"/>
    <w:rsid w:val="00ED2510"/>
    <w:rsid w:val="00ED26BB"/>
    <w:rsid w:val="00ED2B23"/>
    <w:rsid w:val="00ED52BE"/>
    <w:rsid w:val="00ED5602"/>
    <w:rsid w:val="00EE0804"/>
    <w:rsid w:val="00EE0AF0"/>
    <w:rsid w:val="00EE0D85"/>
    <w:rsid w:val="00EE3566"/>
    <w:rsid w:val="00EE4EF8"/>
    <w:rsid w:val="00EE51F7"/>
    <w:rsid w:val="00EE7910"/>
    <w:rsid w:val="00EE7FA1"/>
    <w:rsid w:val="00EF09BD"/>
    <w:rsid w:val="00EF1A64"/>
    <w:rsid w:val="00EF2EDC"/>
    <w:rsid w:val="00EF512C"/>
    <w:rsid w:val="00EF58D1"/>
    <w:rsid w:val="00EF6B6C"/>
    <w:rsid w:val="00F0014B"/>
    <w:rsid w:val="00F0024B"/>
    <w:rsid w:val="00F01929"/>
    <w:rsid w:val="00F02884"/>
    <w:rsid w:val="00F028E8"/>
    <w:rsid w:val="00F02FB3"/>
    <w:rsid w:val="00F030FC"/>
    <w:rsid w:val="00F040D8"/>
    <w:rsid w:val="00F043D1"/>
    <w:rsid w:val="00F045F8"/>
    <w:rsid w:val="00F04C77"/>
    <w:rsid w:val="00F05E79"/>
    <w:rsid w:val="00F07168"/>
    <w:rsid w:val="00F109DB"/>
    <w:rsid w:val="00F10B28"/>
    <w:rsid w:val="00F125F6"/>
    <w:rsid w:val="00F127AB"/>
    <w:rsid w:val="00F127C5"/>
    <w:rsid w:val="00F127FD"/>
    <w:rsid w:val="00F13BC7"/>
    <w:rsid w:val="00F14123"/>
    <w:rsid w:val="00F15907"/>
    <w:rsid w:val="00F20780"/>
    <w:rsid w:val="00F20A38"/>
    <w:rsid w:val="00F220AB"/>
    <w:rsid w:val="00F2472D"/>
    <w:rsid w:val="00F24FDE"/>
    <w:rsid w:val="00F253AB"/>
    <w:rsid w:val="00F25904"/>
    <w:rsid w:val="00F276C4"/>
    <w:rsid w:val="00F30DA8"/>
    <w:rsid w:val="00F33602"/>
    <w:rsid w:val="00F36A52"/>
    <w:rsid w:val="00F37D1A"/>
    <w:rsid w:val="00F41218"/>
    <w:rsid w:val="00F41708"/>
    <w:rsid w:val="00F41732"/>
    <w:rsid w:val="00F421F4"/>
    <w:rsid w:val="00F4299E"/>
    <w:rsid w:val="00F44245"/>
    <w:rsid w:val="00F45309"/>
    <w:rsid w:val="00F45778"/>
    <w:rsid w:val="00F47497"/>
    <w:rsid w:val="00F47904"/>
    <w:rsid w:val="00F47B8C"/>
    <w:rsid w:val="00F51DDB"/>
    <w:rsid w:val="00F53312"/>
    <w:rsid w:val="00F551E5"/>
    <w:rsid w:val="00F569DC"/>
    <w:rsid w:val="00F57143"/>
    <w:rsid w:val="00F57B07"/>
    <w:rsid w:val="00F60077"/>
    <w:rsid w:val="00F60890"/>
    <w:rsid w:val="00F60A2D"/>
    <w:rsid w:val="00F616F8"/>
    <w:rsid w:val="00F630F4"/>
    <w:rsid w:val="00F63233"/>
    <w:rsid w:val="00F63527"/>
    <w:rsid w:val="00F643E0"/>
    <w:rsid w:val="00F64BC8"/>
    <w:rsid w:val="00F64C53"/>
    <w:rsid w:val="00F64E0F"/>
    <w:rsid w:val="00F65046"/>
    <w:rsid w:val="00F66999"/>
    <w:rsid w:val="00F66A1E"/>
    <w:rsid w:val="00F66AAE"/>
    <w:rsid w:val="00F672B6"/>
    <w:rsid w:val="00F7073C"/>
    <w:rsid w:val="00F71C7F"/>
    <w:rsid w:val="00F72056"/>
    <w:rsid w:val="00F72146"/>
    <w:rsid w:val="00F72278"/>
    <w:rsid w:val="00F7285D"/>
    <w:rsid w:val="00F72D3E"/>
    <w:rsid w:val="00F73AB2"/>
    <w:rsid w:val="00F73B3D"/>
    <w:rsid w:val="00F747D2"/>
    <w:rsid w:val="00F7710B"/>
    <w:rsid w:val="00F77BF0"/>
    <w:rsid w:val="00F80211"/>
    <w:rsid w:val="00F8227F"/>
    <w:rsid w:val="00F836A2"/>
    <w:rsid w:val="00F83723"/>
    <w:rsid w:val="00F83733"/>
    <w:rsid w:val="00F84D0E"/>
    <w:rsid w:val="00F85537"/>
    <w:rsid w:val="00F8746B"/>
    <w:rsid w:val="00F91768"/>
    <w:rsid w:val="00F9446B"/>
    <w:rsid w:val="00F95F50"/>
    <w:rsid w:val="00FA041A"/>
    <w:rsid w:val="00FA04F9"/>
    <w:rsid w:val="00FA0A3B"/>
    <w:rsid w:val="00FA1513"/>
    <w:rsid w:val="00FA19EF"/>
    <w:rsid w:val="00FA1C96"/>
    <w:rsid w:val="00FA28DD"/>
    <w:rsid w:val="00FA2B08"/>
    <w:rsid w:val="00FA7EA4"/>
    <w:rsid w:val="00FB0584"/>
    <w:rsid w:val="00FB15C0"/>
    <w:rsid w:val="00FB1E6F"/>
    <w:rsid w:val="00FB1F09"/>
    <w:rsid w:val="00FB22E4"/>
    <w:rsid w:val="00FB269C"/>
    <w:rsid w:val="00FB27EA"/>
    <w:rsid w:val="00FB2FCB"/>
    <w:rsid w:val="00FB336D"/>
    <w:rsid w:val="00FB7212"/>
    <w:rsid w:val="00FC032B"/>
    <w:rsid w:val="00FC05F5"/>
    <w:rsid w:val="00FC0A9F"/>
    <w:rsid w:val="00FC0F2C"/>
    <w:rsid w:val="00FC1050"/>
    <w:rsid w:val="00FC277C"/>
    <w:rsid w:val="00FC316E"/>
    <w:rsid w:val="00FC3201"/>
    <w:rsid w:val="00FC336A"/>
    <w:rsid w:val="00FC34B6"/>
    <w:rsid w:val="00FC4DB8"/>
    <w:rsid w:val="00FC4EAC"/>
    <w:rsid w:val="00FC55C1"/>
    <w:rsid w:val="00FC78D8"/>
    <w:rsid w:val="00FC7DE0"/>
    <w:rsid w:val="00FC7F2F"/>
    <w:rsid w:val="00FD0E26"/>
    <w:rsid w:val="00FD18F7"/>
    <w:rsid w:val="00FD2FF7"/>
    <w:rsid w:val="00FD3E87"/>
    <w:rsid w:val="00FD4EA5"/>
    <w:rsid w:val="00FD5FCB"/>
    <w:rsid w:val="00FD658D"/>
    <w:rsid w:val="00FE0DC2"/>
    <w:rsid w:val="00FE10AA"/>
    <w:rsid w:val="00FE1207"/>
    <w:rsid w:val="00FE12A2"/>
    <w:rsid w:val="00FE1470"/>
    <w:rsid w:val="00FE2C7D"/>
    <w:rsid w:val="00FE40A0"/>
    <w:rsid w:val="00FE43C1"/>
    <w:rsid w:val="00FE4FF1"/>
    <w:rsid w:val="00FE639D"/>
    <w:rsid w:val="00FE72D9"/>
    <w:rsid w:val="00FF0E1D"/>
    <w:rsid w:val="00FF0F66"/>
    <w:rsid w:val="00FF2448"/>
    <w:rsid w:val="00FF2BAC"/>
    <w:rsid w:val="00FF386F"/>
    <w:rsid w:val="00FF4A67"/>
    <w:rsid w:val="00FF4B9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412B0"/>
    <w:rPr>
      <w:sz w:val="24"/>
      <w:szCs w:val="24"/>
      <w:lang w:val="en-GB"/>
    </w:rPr>
  </w:style>
  <w:style w:type="paragraph" w:styleId="Heading1">
    <w:name w:val="heading 1"/>
    <w:basedOn w:val="Normal"/>
    <w:next w:val="Normal"/>
    <w:link w:val="Heading1Char"/>
    <w:uiPriority w:val="99"/>
    <w:qFormat/>
    <w:rsid w:val="003412B0"/>
    <w:pPr>
      <w:keepNext/>
      <w:outlineLvl w:val="0"/>
    </w:pPr>
    <w:rPr>
      <w:b/>
      <w:bCs/>
      <w:sz w:val="32"/>
    </w:rPr>
  </w:style>
  <w:style w:type="paragraph" w:styleId="Heading2">
    <w:name w:val="heading 2"/>
    <w:basedOn w:val="Normal"/>
    <w:next w:val="Normal"/>
    <w:link w:val="Heading2Char"/>
    <w:uiPriority w:val="99"/>
    <w:qFormat/>
    <w:rsid w:val="003412B0"/>
    <w:pPr>
      <w:keepNext/>
      <w:outlineLvl w:val="1"/>
    </w:pPr>
    <w:rPr>
      <w:b/>
      <w:bCs/>
    </w:rPr>
  </w:style>
  <w:style w:type="paragraph" w:styleId="Heading3">
    <w:name w:val="heading 3"/>
    <w:basedOn w:val="Normal"/>
    <w:next w:val="Normal"/>
    <w:link w:val="Heading3Char"/>
    <w:uiPriority w:val="99"/>
    <w:qFormat/>
    <w:rsid w:val="003412B0"/>
    <w:pPr>
      <w:keepNext/>
      <w:numPr>
        <w:numId w:val="1"/>
      </w:numPr>
      <w:tabs>
        <w:tab w:val="num" w:pos="720"/>
      </w:tabs>
      <w:ind w:hanging="1080"/>
      <w:outlineLvl w:val="2"/>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3412B0"/>
    <w:pPr>
      <w:keepNext/>
      <w:numPr>
        <w:numId w:val="2"/>
      </w:numPr>
      <w:outlineLvl w:val="3"/>
    </w:pPr>
    <w:rPr>
      <w:b/>
      <w:bCs/>
    </w:rPr>
  </w:style>
  <w:style w:type="paragraph" w:styleId="Heading5">
    <w:name w:val="heading 5"/>
    <w:basedOn w:val="Normal"/>
    <w:next w:val="Normal"/>
    <w:link w:val="Heading5Char"/>
    <w:uiPriority w:val="99"/>
    <w:qFormat/>
    <w:rsid w:val="003412B0"/>
    <w:pPr>
      <w:keepNext/>
      <w:ind w:left="720"/>
      <w:jc w:val="both"/>
      <w:outlineLvl w:val="4"/>
    </w:pPr>
    <w:rPr>
      <w:b/>
      <w:iCs/>
    </w:rPr>
  </w:style>
  <w:style w:type="paragraph" w:styleId="Heading6">
    <w:name w:val="heading 6"/>
    <w:basedOn w:val="Normal"/>
    <w:next w:val="Normal"/>
    <w:link w:val="Heading6Char"/>
    <w:uiPriority w:val="99"/>
    <w:qFormat/>
    <w:rsid w:val="003412B0"/>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3412B0"/>
    <w:pPr>
      <w:keepNext/>
      <w:ind w:left="360"/>
      <w:jc w:val="both"/>
      <w:outlineLvl w:val="6"/>
    </w:pPr>
    <w:rPr>
      <w:b/>
      <w:iCs/>
      <w:u w:val="single"/>
    </w:rPr>
  </w:style>
  <w:style w:type="paragraph" w:styleId="Heading8">
    <w:name w:val="heading 8"/>
    <w:basedOn w:val="Normal"/>
    <w:next w:val="Normal"/>
    <w:link w:val="Heading8Char"/>
    <w:uiPriority w:val="99"/>
    <w:qFormat/>
    <w:rsid w:val="003412B0"/>
    <w:pPr>
      <w:keepNext/>
      <w:jc w:val="both"/>
      <w:outlineLvl w:val="7"/>
    </w:pPr>
    <w:rPr>
      <w:b/>
      <w:bCs/>
    </w:rPr>
  </w:style>
  <w:style w:type="paragraph" w:styleId="Heading9">
    <w:name w:val="heading 9"/>
    <w:basedOn w:val="Normal"/>
    <w:next w:val="Normal"/>
    <w:link w:val="Heading9Char"/>
    <w:uiPriority w:val="99"/>
    <w:qFormat/>
    <w:rsid w:val="003412B0"/>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E87"/>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0D2BCE"/>
    <w:rPr>
      <w:rFonts w:cs="Times New Roman"/>
      <w:b/>
      <w:bCs/>
      <w:sz w:val="24"/>
      <w:szCs w:val="24"/>
      <w:lang w:eastAsia="en-US"/>
    </w:rPr>
  </w:style>
  <w:style w:type="character" w:customStyle="1" w:styleId="Heading3Char">
    <w:name w:val="Heading 3 Char"/>
    <w:basedOn w:val="DefaultParagraphFont"/>
    <w:link w:val="Heading3"/>
    <w:uiPriority w:val="99"/>
    <w:locked/>
    <w:rsid w:val="00FD3E87"/>
    <w:rPr>
      <w:rFonts w:cs="Times New Roman"/>
      <w:b/>
      <w:bCs/>
      <w:sz w:val="24"/>
      <w:szCs w:val="24"/>
      <w:lang w:val="en-GB"/>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locked/>
    <w:rsid w:val="00B418CA"/>
    <w:rPr>
      <w:rFonts w:cs="Times New Roman"/>
      <w:b/>
      <w:bCs/>
      <w:sz w:val="24"/>
      <w:szCs w:val="24"/>
      <w:lang w:val="en-GB"/>
    </w:rPr>
  </w:style>
  <w:style w:type="character" w:customStyle="1" w:styleId="Heading5Char">
    <w:name w:val="Heading 5 Char"/>
    <w:basedOn w:val="DefaultParagraphFont"/>
    <w:link w:val="Heading5"/>
    <w:uiPriority w:val="99"/>
    <w:semiHidden/>
    <w:locked/>
    <w:rsid w:val="00FD3E87"/>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locked/>
    <w:rsid w:val="00364CC3"/>
    <w:rPr>
      <w:rFonts w:cs="Times New Roman"/>
      <w:b/>
      <w:bCs/>
      <w:iCs/>
      <w:sz w:val="28"/>
      <w:szCs w:val="28"/>
      <w:lang w:eastAsia="en-US"/>
    </w:rPr>
  </w:style>
  <w:style w:type="character" w:customStyle="1" w:styleId="Heading7Char">
    <w:name w:val="Heading 7 Char"/>
    <w:basedOn w:val="DefaultParagraphFont"/>
    <w:link w:val="Heading7"/>
    <w:uiPriority w:val="99"/>
    <w:semiHidden/>
    <w:locked/>
    <w:rsid w:val="00FD3E87"/>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FD3E87"/>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FD3E87"/>
    <w:rPr>
      <w:rFonts w:ascii="Cambria" w:hAnsi="Cambria" w:cs="Times New Roman"/>
      <w:lang w:val="en-GB"/>
    </w:rPr>
  </w:style>
  <w:style w:type="paragraph" w:styleId="Footer">
    <w:name w:val="footer"/>
    <w:basedOn w:val="Normal"/>
    <w:link w:val="FooterChar"/>
    <w:uiPriority w:val="99"/>
    <w:rsid w:val="003412B0"/>
    <w:pPr>
      <w:tabs>
        <w:tab w:val="center" w:pos="4153"/>
        <w:tab w:val="right" w:pos="8306"/>
      </w:tabs>
    </w:pPr>
  </w:style>
  <w:style w:type="character" w:customStyle="1" w:styleId="FooterChar">
    <w:name w:val="Footer Char"/>
    <w:basedOn w:val="DefaultParagraphFont"/>
    <w:link w:val="Footer"/>
    <w:uiPriority w:val="99"/>
    <w:semiHidden/>
    <w:locked/>
    <w:rsid w:val="00FD3E87"/>
    <w:rPr>
      <w:rFonts w:cs="Times New Roman"/>
      <w:sz w:val="24"/>
      <w:szCs w:val="24"/>
      <w:lang w:val="en-GB"/>
    </w:rPr>
  </w:style>
  <w:style w:type="character" w:styleId="PageNumber">
    <w:name w:val="page number"/>
    <w:basedOn w:val="DefaultParagraphFont"/>
    <w:rsid w:val="003412B0"/>
    <w:rPr>
      <w:rFonts w:cs="Times New Roman"/>
    </w:rPr>
  </w:style>
  <w:style w:type="paragraph" w:styleId="BodyTextIndent">
    <w:name w:val="Body Text Indent"/>
    <w:basedOn w:val="Normal"/>
    <w:link w:val="BodyTextIndentChar"/>
    <w:uiPriority w:val="99"/>
    <w:rsid w:val="003412B0"/>
    <w:pPr>
      <w:ind w:left="360"/>
    </w:pPr>
    <w:rPr>
      <w:iCs/>
    </w:rPr>
  </w:style>
  <w:style w:type="character" w:customStyle="1" w:styleId="BodyTextIndentChar">
    <w:name w:val="Body Text Indent Char"/>
    <w:basedOn w:val="DefaultParagraphFont"/>
    <w:link w:val="BodyTextIndent"/>
    <w:uiPriority w:val="99"/>
    <w:locked/>
    <w:rsid w:val="00364CC3"/>
    <w:rPr>
      <w:rFonts w:cs="Times New Roman"/>
      <w:iCs/>
      <w:sz w:val="24"/>
      <w:szCs w:val="24"/>
      <w:lang w:eastAsia="en-US"/>
    </w:rPr>
  </w:style>
  <w:style w:type="paragraph" w:styleId="BodyTextIndent2">
    <w:name w:val="Body Text Indent 2"/>
    <w:basedOn w:val="Normal"/>
    <w:link w:val="BodyTextIndent2Char"/>
    <w:uiPriority w:val="99"/>
    <w:rsid w:val="003412B0"/>
    <w:pPr>
      <w:ind w:left="720"/>
      <w:jc w:val="both"/>
    </w:pPr>
    <w:rPr>
      <w:bCs/>
      <w:iCs/>
    </w:rPr>
  </w:style>
  <w:style w:type="character" w:customStyle="1" w:styleId="BodyTextIndent2Char">
    <w:name w:val="Body Text Indent 2 Char"/>
    <w:basedOn w:val="DefaultParagraphFont"/>
    <w:link w:val="BodyTextIndent2"/>
    <w:uiPriority w:val="99"/>
    <w:locked/>
    <w:rsid w:val="00594963"/>
    <w:rPr>
      <w:rFonts w:cs="Times New Roman"/>
      <w:bCs/>
      <w:iCs/>
      <w:sz w:val="24"/>
      <w:szCs w:val="24"/>
      <w:lang w:eastAsia="en-US"/>
    </w:rPr>
  </w:style>
  <w:style w:type="paragraph" w:styleId="BodyTextIndent3">
    <w:name w:val="Body Text Indent 3"/>
    <w:basedOn w:val="Normal"/>
    <w:link w:val="BodyTextIndent3Char"/>
    <w:uiPriority w:val="99"/>
    <w:rsid w:val="003412B0"/>
    <w:pPr>
      <w:ind w:left="360"/>
      <w:jc w:val="both"/>
    </w:pPr>
    <w:rPr>
      <w:iCs/>
    </w:rPr>
  </w:style>
  <w:style w:type="character" w:customStyle="1" w:styleId="BodyTextIndent3Char">
    <w:name w:val="Body Text Indent 3 Char"/>
    <w:basedOn w:val="DefaultParagraphFont"/>
    <w:link w:val="BodyTextIndent3"/>
    <w:uiPriority w:val="99"/>
    <w:locked/>
    <w:rsid w:val="00364CC3"/>
    <w:rPr>
      <w:rFonts w:cs="Times New Roman"/>
      <w:iCs/>
      <w:sz w:val="24"/>
      <w:szCs w:val="24"/>
      <w:lang w:eastAsia="en-US"/>
    </w:rPr>
  </w:style>
  <w:style w:type="paragraph" w:styleId="BodyText">
    <w:name w:val="Body Text"/>
    <w:basedOn w:val="Normal"/>
    <w:link w:val="BodyTextChar"/>
    <w:uiPriority w:val="99"/>
    <w:rsid w:val="003412B0"/>
    <w:pPr>
      <w:jc w:val="both"/>
    </w:pPr>
    <w:rPr>
      <w:sz w:val="22"/>
    </w:rPr>
  </w:style>
  <w:style w:type="character" w:customStyle="1" w:styleId="BodyTextChar">
    <w:name w:val="Body Text Char"/>
    <w:basedOn w:val="DefaultParagraphFont"/>
    <w:link w:val="BodyText"/>
    <w:uiPriority w:val="99"/>
    <w:semiHidden/>
    <w:locked/>
    <w:rsid w:val="00FD3E87"/>
    <w:rPr>
      <w:rFonts w:cs="Times New Roman"/>
      <w:sz w:val="24"/>
      <w:szCs w:val="24"/>
      <w:lang w:val="en-GB"/>
    </w:rPr>
  </w:style>
  <w:style w:type="paragraph" w:styleId="BodyText2">
    <w:name w:val="Body Text 2"/>
    <w:basedOn w:val="Normal"/>
    <w:link w:val="BodyText2Char"/>
    <w:uiPriority w:val="99"/>
    <w:rsid w:val="003412B0"/>
    <w:pPr>
      <w:jc w:val="center"/>
    </w:pPr>
    <w:rPr>
      <w:rFonts w:ascii="Arial" w:hAnsi="Arial" w:cs="Arial"/>
      <w:b/>
      <w:bCs/>
    </w:rPr>
  </w:style>
  <w:style w:type="character" w:customStyle="1" w:styleId="BodyText2Char">
    <w:name w:val="Body Text 2 Char"/>
    <w:basedOn w:val="DefaultParagraphFont"/>
    <w:link w:val="BodyText2"/>
    <w:uiPriority w:val="99"/>
    <w:semiHidden/>
    <w:locked/>
    <w:rsid w:val="00FD3E87"/>
    <w:rPr>
      <w:rFonts w:cs="Times New Roman"/>
      <w:sz w:val="24"/>
      <w:szCs w:val="24"/>
      <w:lang w:val="en-GB"/>
    </w:rPr>
  </w:style>
  <w:style w:type="paragraph" w:customStyle="1" w:styleId="Pa3">
    <w:name w:val="Pa3"/>
    <w:basedOn w:val="Normal"/>
    <w:next w:val="Normal"/>
    <w:uiPriority w:val="99"/>
    <w:rsid w:val="003412B0"/>
    <w:pPr>
      <w:autoSpaceDE w:val="0"/>
      <w:autoSpaceDN w:val="0"/>
      <w:adjustRightInd w:val="0"/>
      <w:spacing w:after="220" w:line="201" w:lineRule="atLeast"/>
    </w:pPr>
    <w:rPr>
      <w:rFonts w:ascii="Univers" w:hAnsi="Univers"/>
      <w:lang w:val="en-US"/>
    </w:rPr>
  </w:style>
  <w:style w:type="paragraph" w:styleId="BalloonText">
    <w:name w:val="Balloon Text"/>
    <w:basedOn w:val="Normal"/>
    <w:link w:val="BalloonTextChar"/>
    <w:uiPriority w:val="99"/>
    <w:semiHidden/>
    <w:rsid w:val="003412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3E87"/>
    <w:rPr>
      <w:rFonts w:cs="Times New Roman"/>
      <w:sz w:val="2"/>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A52958"/>
    <w:pPr>
      <w:spacing w:after="200" w:line="276" w:lineRule="auto"/>
      <w:ind w:left="720"/>
      <w:contextualSpacing/>
    </w:pPr>
    <w:rPr>
      <w:rFonts w:ascii="Calibri" w:hAnsi="Calibri"/>
      <w:sz w:val="22"/>
      <w:szCs w:val="22"/>
    </w:rPr>
  </w:style>
  <w:style w:type="table" w:styleId="TableGrid">
    <w:name w:val="Table Grid"/>
    <w:basedOn w:val="TableNormal"/>
    <w:uiPriority w:val="99"/>
    <w:rsid w:val="00A52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E23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FD3E87"/>
    <w:rPr>
      <w:rFonts w:cs="Times New Roman"/>
      <w:sz w:val="2"/>
      <w:lang w:val="en-GB"/>
    </w:rPr>
  </w:style>
  <w:style w:type="paragraph" w:customStyle="1" w:styleId="Default">
    <w:name w:val="Default"/>
    <w:rsid w:val="005729FB"/>
    <w:pPr>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CB6B8B"/>
    <w:pPr>
      <w:spacing w:before="145" w:after="73"/>
    </w:pPr>
    <w:rPr>
      <w:sz w:val="18"/>
      <w:szCs w:val="18"/>
      <w:lang w:eastAsia="en-GB"/>
    </w:rPr>
  </w:style>
  <w:style w:type="character" w:styleId="CommentReference">
    <w:name w:val="annotation reference"/>
    <w:basedOn w:val="DefaultParagraphFont"/>
    <w:uiPriority w:val="99"/>
    <w:rsid w:val="008F2CB2"/>
    <w:rPr>
      <w:rFonts w:cs="Times New Roman"/>
      <w:sz w:val="16"/>
      <w:szCs w:val="16"/>
    </w:rPr>
  </w:style>
  <w:style w:type="paragraph" w:styleId="CommentText">
    <w:name w:val="annotation text"/>
    <w:basedOn w:val="Normal"/>
    <w:link w:val="CommentTextChar"/>
    <w:uiPriority w:val="99"/>
    <w:rsid w:val="008F2CB2"/>
    <w:rPr>
      <w:sz w:val="20"/>
      <w:szCs w:val="20"/>
    </w:rPr>
  </w:style>
  <w:style w:type="character" w:customStyle="1" w:styleId="CommentTextChar">
    <w:name w:val="Comment Text Char"/>
    <w:basedOn w:val="DefaultParagraphFont"/>
    <w:link w:val="CommentText"/>
    <w:uiPriority w:val="99"/>
    <w:locked/>
    <w:rsid w:val="008F2CB2"/>
    <w:rPr>
      <w:rFonts w:cs="Times New Roman"/>
      <w:lang w:eastAsia="en-US"/>
    </w:rPr>
  </w:style>
  <w:style w:type="paragraph" w:styleId="CommentSubject">
    <w:name w:val="annotation subject"/>
    <w:basedOn w:val="CommentText"/>
    <w:next w:val="CommentText"/>
    <w:link w:val="CommentSubjectChar"/>
    <w:uiPriority w:val="99"/>
    <w:rsid w:val="008F2CB2"/>
    <w:rPr>
      <w:b/>
      <w:bCs/>
    </w:rPr>
  </w:style>
  <w:style w:type="character" w:customStyle="1" w:styleId="CommentSubjectChar">
    <w:name w:val="Comment Subject Char"/>
    <w:basedOn w:val="CommentTextChar"/>
    <w:link w:val="CommentSubject"/>
    <w:uiPriority w:val="99"/>
    <w:locked/>
    <w:rsid w:val="008F2CB2"/>
    <w:rPr>
      <w:b/>
      <w:bCs/>
    </w:rPr>
  </w:style>
  <w:style w:type="paragraph" w:styleId="Header">
    <w:name w:val="header"/>
    <w:basedOn w:val="Normal"/>
    <w:link w:val="HeaderChar"/>
    <w:rsid w:val="00987192"/>
    <w:pPr>
      <w:tabs>
        <w:tab w:val="center" w:pos="4513"/>
        <w:tab w:val="right" w:pos="9026"/>
      </w:tabs>
    </w:pPr>
  </w:style>
  <w:style w:type="character" w:customStyle="1" w:styleId="HeaderChar">
    <w:name w:val="Header Char"/>
    <w:basedOn w:val="DefaultParagraphFont"/>
    <w:link w:val="Header"/>
    <w:uiPriority w:val="99"/>
    <w:locked/>
    <w:rsid w:val="00987192"/>
    <w:rPr>
      <w:rFonts w:cs="Times New Roman"/>
      <w:sz w:val="24"/>
      <w:szCs w:val="24"/>
      <w:lang w:eastAsia="en-US"/>
    </w:rPr>
  </w:style>
  <w:style w:type="paragraph" w:styleId="Title">
    <w:name w:val="Title"/>
    <w:basedOn w:val="Normal"/>
    <w:link w:val="TitleChar"/>
    <w:qFormat/>
    <w:rsid w:val="009871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locked/>
    <w:rsid w:val="00987192"/>
    <w:rPr>
      <w:rFonts w:cs="Times New Roman"/>
      <w:b/>
      <w:sz w:val="22"/>
      <w:lang w:eastAsia="en-US"/>
    </w:rPr>
  </w:style>
  <w:style w:type="character" w:customStyle="1" w:styleId="CharChar4">
    <w:name w:val="Char Char4"/>
    <w:basedOn w:val="DefaultParagraphFont"/>
    <w:uiPriority w:val="99"/>
    <w:locked/>
    <w:rsid w:val="0068381A"/>
    <w:rPr>
      <w:rFonts w:cs="Times New Roman"/>
      <w:iCs/>
      <w:sz w:val="24"/>
      <w:szCs w:val="24"/>
      <w:lang w:eastAsia="en-US"/>
    </w:rPr>
  </w:style>
  <w:style w:type="character" w:customStyle="1" w:styleId="CharChar6">
    <w:name w:val="Char Char6"/>
    <w:basedOn w:val="DefaultParagraphFont"/>
    <w:uiPriority w:val="99"/>
    <w:locked/>
    <w:rsid w:val="006C0D89"/>
    <w:rPr>
      <w:rFonts w:cs="Times New Roman"/>
      <w:iCs/>
      <w:sz w:val="24"/>
      <w:szCs w:val="24"/>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1F29F1"/>
    <w:rPr>
      <w:rFonts w:ascii="Calibri" w:hAnsi="Calibri"/>
      <w:lang w:val="en-GB"/>
    </w:rPr>
  </w:style>
  <w:style w:type="paragraph" w:customStyle="1" w:styleId="Tableheading">
    <w:name w:val="Table heading"/>
    <w:basedOn w:val="Normal"/>
    <w:next w:val="Normal"/>
    <w:qFormat/>
    <w:rsid w:val="001F29F1"/>
    <w:pPr>
      <w:spacing w:before="40" w:after="40"/>
      <w:jc w:val="center"/>
    </w:pPr>
    <w:rPr>
      <w:rFonts w:ascii="Arial Bold" w:eastAsia="Calibri" w:hAnsi="Arial Bold" w:cs="Arial"/>
      <w:b/>
      <w:color w:val="800080"/>
      <w:sz w:val="20"/>
    </w:rPr>
  </w:style>
  <w:style w:type="paragraph" w:customStyle="1" w:styleId="Tabletext">
    <w:name w:val="Table text"/>
    <w:basedOn w:val="Normal"/>
    <w:link w:val="TabletextChar"/>
    <w:qFormat/>
    <w:rsid w:val="001F29F1"/>
    <w:pPr>
      <w:spacing w:before="40" w:after="40"/>
    </w:pPr>
    <w:rPr>
      <w:rFonts w:ascii="Arial" w:hAnsi="Arial"/>
      <w:sz w:val="20"/>
      <w:szCs w:val="22"/>
      <w:lang w:eastAsia="ja-JP"/>
    </w:rPr>
  </w:style>
  <w:style w:type="character" w:customStyle="1" w:styleId="TabletextChar">
    <w:name w:val="Table text Char"/>
    <w:basedOn w:val="DefaultParagraphFont"/>
    <w:link w:val="Tabletext"/>
    <w:rsid w:val="001F29F1"/>
    <w:rPr>
      <w:rFonts w:ascii="Arial" w:hAnsi="Arial"/>
      <w:sz w:val="20"/>
      <w:lang w:val="en-GB" w:eastAsia="ja-JP"/>
    </w:rPr>
  </w:style>
  <w:style w:type="paragraph" w:customStyle="1" w:styleId="Pa0">
    <w:name w:val="Pa0"/>
    <w:basedOn w:val="Default"/>
    <w:next w:val="Default"/>
    <w:uiPriority w:val="99"/>
    <w:rsid w:val="00AB01FA"/>
    <w:pPr>
      <w:spacing w:line="241" w:lineRule="atLeast"/>
    </w:pPr>
    <w:rPr>
      <w:rFonts w:ascii="HelveticaNeue LT 65 Medium" w:hAnsi="HelveticaNeue LT 65 Medium" w:cs="Times New Roman"/>
      <w:color w:val="auto"/>
      <w:lang w:eastAsia="en-US"/>
    </w:rPr>
  </w:style>
  <w:style w:type="character" w:customStyle="1" w:styleId="A0">
    <w:name w:val="A0"/>
    <w:uiPriority w:val="99"/>
    <w:rsid w:val="00AB01FA"/>
    <w:rPr>
      <w:rFonts w:cs="HelveticaNeue LT 65 Medium"/>
      <w:color w:val="000000"/>
      <w:sz w:val="36"/>
      <w:szCs w:val="36"/>
    </w:rPr>
  </w:style>
  <w:style w:type="character" w:customStyle="1" w:styleId="A2">
    <w:name w:val="A2"/>
    <w:uiPriority w:val="99"/>
    <w:rsid w:val="00E523F4"/>
    <w:rPr>
      <w:rFonts w:cs="HelveticaNeue LT 45 Lt"/>
      <w:color w:val="000000"/>
      <w:sz w:val="22"/>
      <w:szCs w:val="22"/>
    </w:rPr>
  </w:style>
  <w:style w:type="character" w:styleId="Hyperlink">
    <w:name w:val="Hyperlink"/>
    <w:basedOn w:val="DefaultParagraphFont"/>
    <w:uiPriority w:val="99"/>
    <w:unhideWhenUsed/>
    <w:locked/>
    <w:rsid w:val="00C134E1"/>
    <w:rPr>
      <w:color w:val="0000FF" w:themeColor="hyperlink"/>
      <w:u w:val="single"/>
    </w:rPr>
  </w:style>
  <w:style w:type="paragraph" w:styleId="FootnoteText">
    <w:name w:val="footnote text"/>
    <w:basedOn w:val="Normal"/>
    <w:link w:val="FootnoteTextChar"/>
    <w:uiPriority w:val="99"/>
    <w:semiHidden/>
    <w:unhideWhenUsed/>
    <w:locked/>
    <w:rsid w:val="00C134E1"/>
    <w:rPr>
      <w:rFonts w:ascii="Calibri" w:hAnsi="Calibri"/>
      <w:sz w:val="20"/>
      <w:szCs w:val="20"/>
    </w:rPr>
  </w:style>
  <w:style w:type="character" w:customStyle="1" w:styleId="FootnoteTextChar">
    <w:name w:val="Footnote Text Char"/>
    <w:basedOn w:val="DefaultParagraphFont"/>
    <w:link w:val="FootnoteText"/>
    <w:uiPriority w:val="99"/>
    <w:semiHidden/>
    <w:rsid w:val="00C134E1"/>
    <w:rPr>
      <w:rFonts w:ascii="Calibri" w:hAnsi="Calibri"/>
      <w:sz w:val="20"/>
      <w:szCs w:val="20"/>
      <w:lang w:val="en-GB"/>
    </w:rPr>
  </w:style>
  <w:style w:type="character" w:styleId="FootnoteReference">
    <w:name w:val="footnote reference"/>
    <w:basedOn w:val="DefaultParagraphFont"/>
    <w:uiPriority w:val="99"/>
    <w:semiHidden/>
    <w:unhideWhenUsed/>
    <w:locked/>
    <w:rsid w:val="00C134E1"/>
    <w:rPr>
      <w:vertAlign w:val="superscript"/>
    </w:rPr>
  </w:style>
</w:styles>
</file>

<file path=word/webSettings.xml><?xml version="1.0" encoding="utf-8"?>
<w:webSettings xmlns:r="http://schemas.openxmlformats.org/officeDocument/2006/relationships" xmlns:w="http://schemas.openxmlformats.org/wordprocessingml/2006/main">
  <w:divs>
    <w:div w:id="82580061">
      <w:bodyDiv w:val="1"/>
      <w:marLeft w:val="0"/>
      <w:marRight w:val="0"/>
      <w:marTop w:val="0"/>
      <w:marBottom w:val="0"/>
      <w:divBdr>
        <w:top w:val="none" w:sz="0" w:space="0" w:color="auto"/>
        <w:left w:val="none" w:sz="0" w:space="0" w:color="auto"/>
        <w:bottom w:val="none" w:sz="0" w:space="0" w:color="auto"/>
        <w:right w:val="none" w:sz="0" w:space="0" w:color="auto"/>
      </w:divBdr>
    </w:div>
    <w:div w:id="167528724">
      <w:bodyDiv w:val="1"/>
      <w:marLeft w:val="0"/>
      <w:marRight w:val="0"/>
      <w:marTop w:val="0"/>
      <w:marBottom w:val="0"/>
      <w:divBdr>
        <w:top w:val="none" w:sz="0" w:space="0" w:color="auto"/>
        <w:left w:val="none" w:sz="0" w:space="0" w:color="auto"/>
        <w:bottom w:val="none" w:sz="0" w:space="0" w:color="auto"/>
        <w:right w:val="none" w:sz="0" w:space="0" w:color="auto"/>
      </w:divBdr>
    </w:div>
    <w:div w:id="184908256">
      <w:bodyDiv w:val="1"/>
      <w:marLeft w:val="0"/>
      <w:marRight w:val="0"/>
      <w:marTop w:val="0"/>
      <w:marBottom w:val="0"/>
      <w:divBdr>
        <w:top w:val="none" w:sz="0" w:space="0" w:color="auto"/>
        <w:left w:val="none" w:sz="0" w:space="0" w:color="auto"/>
        <w:bottom w:val="none" w:sz="0" w:space="0" w:color="auto"/>
        <w:right w:val="none" w:sz="0" w:space="0" w:color="auto"/>
      </w:divBdr>
    </w:div>
    <w:div w:id="965891823">
      <w:bodyDiv w:val="1"/>
      <w:marLeft w:val="0"/>
      <w:marRight w:val="0"/>
      <w:marTop w:val="0"/>
      <w:marBottom w:val="0"/>
      <w:divBdr>
        <w:top w:val="none" w:sz="0" w:space="0" w:color="auto"/>
        <w:left w:val="none" w:sz="0" w:space="0" w:color="auto"/>
        <w:bottom w:val="none" w:sz="0" w:space="0" w:color="auto"/>
        <w:right w:val="none" w:sz="0" w:space="0" w:color="auto"/>
      </w:divBdr>
    </w:div>
    <w:div w:id="1741361706">
      <w:bodyDiv w:val="1"/>
      <w:marLeft w:val="0"/>
      <w:marRight w:val="0"/>
      <w:marTop w:val="0"/>
      <w:marBottom w:val="0"/>
      <w:divBdr>
        <w:top w:val="none" w:sz="0" w:space="0" w:color="auto"/>
        <w:left w:val="none" w:sz="0" w:space="0" w:color="auto"/>
        <w:bottom w:val="none" w:sz="0" w:space="0" w:color="auto"/>
        <w:right w:val="none" w:sz="0" w:space="0" w:color="auto"/>
      </w:divBdr>
    </w:div>
    <w:div w:id="1756392502">
      <w:marLeft w:val="0"/>
      <w:marRight w:val="0"/>
      <w:marTop w:val="0"/>
      <w:marBottom w:val="0"/>
      <w:divBdr>
        <w:top w:val="none" w:sz="0" w:space="0" w:color="auto"/>
        <w:left w:val="none" w:sz="0" w:space="0" w:color="auto"/>
        <w:bottom w:val="none" w:sz="0" w:space="0" w:color="auto"/>
        <w:right w:val="none" w:sz="0" w:space="0" w:color="auto"/>
      </w:divBdr>
      <w:divsChild>
        <w:div w:id="1756392503">
          <w:marLeft w:val="864"/>
          <w:marRight w:val="0"/>
          <w:marTop w:val="134"/>
          <w:marBottom w:val="0"/>
          <w:divBdr>
            <w:top w:val="none" w:sz="0" w:space="0" w:color="auto"/>
            <w:left w:val="none" w:sz="0" w:space="0" w:color="auto"/>
            <w:bottom w:val="none" w:sz="0" w:space="0" w:color="auto"/>
            <w:right w:val="none" w:sz="0" w:space="0" w:color="auto"/>
          </w:divBdr>
        </w:div>
        <w:div w:id="1756392530">
          <w:marLeft w:val="864"/>
          <w:marRight w:val="0"/>
          <w:marTop w:val="134"/>
          <w:marBottom w:val="0"/>
          <w:divBdr>
            <w:top w:val="none" w:sz="0" w:space="0" w:color="auto"/>
            <w:left w:val="none" w:sz="0" w:space="0" w:color="auto"/>
            <w:bottom w:val="none" w:sz="0" w:space="0" w:color="auto"/>
            <w:right w:val="none" w:sz="0" w:space="0" w:color="auto"/>
          </w:divBdr>
        </w:div>
        <w:div w:id="1756392533">
          <w:marLeft w:val="864"/>
          <w:marRight w:val="0"/>
          <w:marTop w:val="134"/>
          <w:marBottom w:val="0"/>
          <w:divBdr>
            <w:top w:val="none" w:sz="0" w:space="0" w:color="auto"/>
            <w:left w:val="none" w:sz="0" w:space="0" w:color="auto"/>
            <w:bottom w:val="none" w:sz="0" w:space="0" w:color="auto"/>
            <w:right w:val="none" w:sz="0" w:space="0" w:color="auto"/>
          </w:divBdr>
        </w:div>
      </w:divsChild>
    </w:div>
    <w:div w:id="1756392505">
      <w:marLeft w:val="0"/>
      <w:marRight w:val="0"/>
      <w:marTop w:val="0"/>
      <w:marBottom w:val="0"/>
      <w:divBdr>
        <w:top w:val="none" w:sz="0" w:space="0" w:color="auto"/>
        <w:left w:val="none" w:sz="0" w:space="0" w:color="auto"/>
        <w:bottom w:val="none" w:sz="0" w:space="0" w:color="auto"/>
        <w:right w:val="none" w:sz="0" w:space="0" w:color="auto"/>
      </w:divBdr>
    </w:div>
    <w:div w:id="1756392507">
      <w:marLeft w:val="0"/>
      <w:marRight w:val="0"/>
      <w:marTop w:val="0"/>
      <w:marBottom w:val="0"/>
      <w:divBdr>
        <w:top w:val="none" w:sz="0" w:space="0" w:color="auto"/>
        <w:left w:val="none" w:sz="0" w:space="0" w:color="auto"/>
        <w:bottom w:val="none" w:sz="0" w:space="0" w:color="auto"/>
        <w:right w:val="none" w:sz="0" w:space="0" w:color="auto"/>
      </w:divBdr>
    </w:div>
    <w:div w:id="1756392508">
      <w:marLeft w:val="0"/>
      <w:marRight w:val="0"/>
      <w:marTop w:val="0"/>
      <w:marBottom w:val="0"/>
      <w:divBdr>
        <w:top w:val="none" w:sz="0" w:space="0" w:color="auto"/>
        <w:left w:val="none" w:sz="0" w:space="0" w:color="auto"/>
        <w:bottom w:val="none" w:sz="0" w:space="0" w:color="auto"/>
        <w:right w:val="none" w:sz="0" w:space="0" w:color="auto"/>
      </w:divBdr>
    </w:div>
    <w:div w:id="1756392509">
      <w:marLeft w:val="0"/>
      <w:marRight w:val="0"/>
      <w:marTop w:val="0"/>
      <w:marBottom w:val="0"/>
      <w:divBdr>
        <w:top w:val="none" w:sz="0" w:space="0" w:color="auto"/>
        <w:left w:val="none" w:sz="0" w:space="0" w:color="auto"/>
        <w:bottom w:val="none" w:sz="0" w:space="0" w:color="auto"/>
        <w:right w:val="none" w:sz="0" w:space="0" w:color="auto"/>
      </w:divBdr>
    </w:div>
    <w:div w:id="1756392510">
      <w:marLeft w:val="0"/>
      <w:marRight w:val="0"/>
      <w:marTop w:val="0"/>
      <w:marBottom w:val="0"/>
      <w:divBdr>
        <w:top w:val="none" w:sz="0" w:space="0" w:color="auto"/>
        <w:left w:val="none" w:sz="0" w:space="0" w:color="auto"/>
        <w:bottom w:val="none" w:sz="0" w:space="0" w:color="auto"/>
        <w:right w:val="none" w:sz="0" w:space="0" w:color="auto"/>
      </w:divBdr>
    </w:div>
    <w:div w:id="1756392511">
      <w:marLeft w:val="0"/>
      <w:marRight w:val="0"/>
      <w:marTop w:val="0"/>
      <w:marBottom w:val="0"/>
      <w:divBdr>
        <w:top w:val="none" w:sz="0" w:space="0" w:color="auto"/>
        <w:left w:val="none" w:sz="0" w:space="0" w:color="auto"/>
        <w:bottom w:val="none" w:sz="0" w:space="0" w:color="auto"/>
        <w:right w:val="none" w:sz="0" w:space="0" w:color="auto"/>
      </w:divBdr>
    </w:div>
    <w:div w:id="1756392515">
      <w:marLeft w:val="0"/>
      <w:marRight w:val="0"/>
      <w:marTop w:val="0"/>
      <w:marBottom w:val="0"/>
      <w:divBdr>
        <w:top w:val="none" w:sz="0" w:space="0" w:color="auto"/>
        <w:left w:val="none" w:sz="0" w:space="0" w:color="auto"/>
        <w:bottom w:val="none" w:sz="0" w:space="0" w:color="auto"/>
        <w:right w:val="none" w:sz="0" w:space="0" w:color="auto"/>
      </w:divBdr>
    </w:div>
    <w:div w:id="1756392518">
      <w:marLeft w:val="0"/>
      <w:marRight w:val="0"/>
      <w:marTop w:val="0"/>
      <w:marBottom w:val="0"/>
      <w:divBdr>
        <w:top w:val="none" w:sz="0" w:space="0" w:color="auto"/>
        <w:left w:val="none" w:sz="0" w:space="0" w:color="auto"/>
        <w:bottom w:val="none" w:sz="0" w:space="0" w:color="auto"/>
        <w:right w:val="none" w:sz="0" w:space="0" w:color="auto"/>
      </w:divBdr>
    </w:div>
    <w:div w:id="1756392521">
      <w:marLeft w:val="0"/>
      <w:marRight w:val="0"/>
      <w:marTop w:val="0"/>
      <w:marBottom w:val="0"/>
      <w:divBdr>
        <w:top w:val="none" w:sz="0" w:space="0" w:color="auto"/>
        <w:left w:val="none" w:sz="0" w:space="0" w:color="auto"/>
        <w:bottom w:val="none" w:sz="0" w:space="0" w:color="auto"/>
        <w:right w:val="none" w:sz="0" w:space="0" w:color="auto"/>
      </w:divBdr>
    </w:div>
    <w:div w:id="1756392524">
      <w:marLeft w:val="0"/>
      <w:marRight w:val="0"/>
      <w:marTop w:val="0"/>
      <w:marBottom w:val="0"/>
      <w:divBdr>
        <w:top w:val="none" w:sz="0" w:space="0" w:color="auto"/>
        <w:left w:val="none" w:sz="0" w:space="0" w:color="auto"/>
        <w:bottom w:val="none" w:sz="0" w:space="0" w:color="auto"/>
        <w:right w:val="none" w:sz="0" w:space="0" w:color="auto"/>
      </w:divBdr>
      <w:divsChild>
        <w:div w:id="1756392512">
          <w:marLeft w:val="0"/>
          <w:marRight w:val="0"/>
          <w:marTop w:val="0"/>
          <w:marBottom w:val="0"/>
          <w:divBdr>
            <w:top w:val="none" w:sz="0" w:space="0" w:color="auto"/>
            <w:left w:val="none" w:sz="0" w:space="0" w:color="auto"/>
            <w:bottom w:val="none" w:sz="0" w:space="0" w:color="auto"/>
            <w:right w:val="none" w:sz="0" w:space="0" w:color="auto"/>
          </w:divBdr>
          <w:divsChild>
            <w:div w:id="1756392504">
              <w:marLeft w:val="0"/>
              <w:marRight w:val="0"/>
              <w:marTop w:val="0"/>
              <w:marBottom w:val="0"/>
              <w:divBdr>
                <w:top w:val="none" w:sz="0" w:space="0" w:color="auto"/>
                <w:left w:val="none" w:sz="0" w:space="0" w:color="auto"/>
                <w:bottom w:val="none" w:sz="0" w:space="0" w:color="auto"/>
                <w:right w:val="none" w:sz="0" w:space="0" w:color="auto"/>
              </w:divBdr>
            </w:div>
            <w:div w:id="1756392506">
              <w:marLeft w:val="0"/>
              <w:marRight w:val="0"/>
              <w:marTop w:val="0"/>
              <w:marBottom w:val="0"/>
              <w:divBdr>
                <w:top w:val="none" w:sz="0" w:space="0" w:color="auto"/>
                <w:left w:val="none" w:sz="0" w:space="0" w:color="auto"/>
                <w:bottom w:val="none" w:sz="0" w:space="0" w:color="auto"/>
                <w:right w:val="none" w:sz="0" w:space="0" w:color="auto"/>
              </w:divBdr>
            </w:div>
            <w:div w:id="1756392513">
              <w:marLeft w:val="0"/>
              <w:marRight w:val="0"/>
              <w:marTop w:val="0"/>
              <w:marBottom w:val="0"/>
              <w:divBdr>
                <w:top w:val="none" w:sz="0" w:space="0" w:color="auto"/>
                <w:left w:val="none" w:sz="0" w:space="0" w:color="auto"/>
                <w:bottom w:val="none" w:sz="0" w:space="0" w:color="auto"/>
                <w:right w:val="none" w:sz="0" w:space="0" w:color="auto"/>
              </w:divBdr>
            </w:div>
            <w:div w:id="1756392514">
              <w:marLeft w:val="0"/>
              <w:marRight w:val="0"/>
              <w:marTop w:val="0"/>
              <w:marBottom w:val="0"/>
              <w:divBdr>
                <w:top w:val="none" w:sz="0" w:space="0" w:color="auto"/>
                <w:left w:val="none" w:sz="0" w:space="0" w:color="auto"/>
                <w:bottom w:val="none" w:sz="0" w:space="0" w:color="auto"/>
                <w:right w:val="none" w:sz="0" w:space="0" w:color="auto"/>
              </w:divBdr>
            </w:div>
            <w:div w:id="1756392516">
              <w:marLeft w:val="0"/>
              <w:marRight w:val="0"/>
              <w:marTop w:val="0"/>
              <w:marBottom w:val="0"/>
              <w:divBdr>
                <w:top w:val="none" w:sz="0" w:space="0" w:color="auto"/>
                <w:left w:val="none" w:sz="0" w:space="0" w:color="auto"/>
                <w:bottom w:val="none" w:sz="0" w:space="0" w:color="auto"/>
                <w:right w:val="none" w:sz="0" w:space="0" w:color="auto"/>
              </w:divBdr>
            </w:div>
            <w:div w:id="1756392517">
              <w:marLeft w:val="0"/>
              <w:marRight w:val="0"/>
              <w:marTop w:val="0"/>
              <w:marBottom w:val="0"/>
              <w:divBdr>
                <w:top w:val="none" w:sz="0" w:space="0" w:color="auto"/>
                <w:left w:val="none" w:sz="0" w:space="0" w:color="auto"/>
                <w:bottom w:val="none" w:sz="0" w:space="0" w:color="auto"/>
                <w:right w:val="none" w:sz="0" w:space="0" w:color="auto"/>
              </w:divBdr>
            </w:div>
            <w:div w:id="1756392519">
              <w:marLeft w:val="0"/>
              <w:marRight w:val="0"/>
              <w:marTop w:val="0"/>
              <w:marBottom w:val="0"/>
              <w:divBdr>
                <w:top w:val="none" w:sz="0" w:space="0" w:color="auto"/>
                <w:left w:val="none" w:sz="0" w:space="0" w:color="auto"/>
                <w:bottom w:val="none" w:sz="0" w:space="0" w:color="auto"/>
                <w:right w:val="none" w:sz="0" w:space="0" w:color="auto"/>
              </w:divBdr>
            </w:div>
            <w:div w:id="1756392520">
              <w:marLeft w:val="0"/>
              <w:marRight w:val="0"/>
              <w:marTop w:val="0"/>
              <w:marBottom w:val="0"/>
              <w:divBdr>
                <w:top w:val="none" w:sz="0" w:space="0" w:color="auto"/>
                <w:left w:val="none" w:sz="0" w:space="0" w:color="auto"/>
                <w:bottom w:val="none" w:sz="0" w:space="0" w:color="auto"/>
                <w:right w:val="none" w:sz="0" w:space="0" w:color="auto"/>
              </w:divBdr>
            </w:div>
            <w:div w:id="1756392522">
              <w:marLeft w:val="0"/>
              <w:marRight w:val="0"/>
              <w:marTop w:val="0"/>
              <w:marBottom w:val="0"/>
              <w:divBdr>
                <w:top w:val="none" w:sz="0" w:space="0" w:color="auto"/>
                <w:left w:val="none" w:sz="0" w:space="0" w:color="auto"/>
                <w:bottom w:val="none" w:sz="0" w:space="0" w:color="auto"/>
                <w:right w:val="none" w:sz="0" w:space="0" w:color="auto"/>
              </w:divBdr>
            </w:div>
            <w:div w:id="175639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2525">
      <w:marLeft w:val="0"/>
      <w:marRight w:val="0"/>
      <w:marTop w:val="0"/>
      <w:marBottom w:val="0"/>
      <w:divBdr>
        <w:top w:val="none" w:sz="0" w:space="0" w:color="auto"/>
        <w:left w:val="none" w:sz="0" w:space="0" w:color="auto"/>
        <w:bottom w:val="none" w:sz="0" w:space="0" w:color="auto"/>
        <w:right w:val="none" w:sz="0" w:space="0" w:color="auto"/>
      </w:divBdr>
    </w:div>
    <w:div w:id="1756392526">
      <w:marLeft w:val="0"/>
      <w:marRight w:val="0"/>
      <w:marTop w:val="0"/>
      <w:marBottom w:val="0"/>
      <w:divBdr>
        <w:top w:val="none" w:sz="0" w:space="0" w:color="auto"/>
        <w:left w:val="none" w:sz="0" w:space="0" w:color="auto"/>
        <w:bottom w:val="none" w:sz="0" w:space="0" w:color="auto"/>
        <w:right w:val="none" w:sz="0" w:space="0" w:color="auto"/>
      </w:divBdr>
    </w:div>
    <w:div w:id="1756392528">
      <w:marLeft w:val="0"/>
      <w:marRight w:val="0"/>
      <w:marTop w:val="0"/>
      <w:marBottom w:val="0"/>
      <w:divBdr>
        <w:top w:val="none" w:sz="0" w:space="0" w:color="auto"/>
        <w:left w:val="none" w:sz="0" w:space="0" w:color="auto"/>
        <w:bottom w:val="none" w:sz="0" w:space="0" w:color="auto"/>
        <w:right w:val="none" w:sz="0" w:space="0" w:color="auto"/>
      </w:divBdr>
      <w:divsChild>
        <w:div w:id="1756392527">
          <w:marLeft w:val="1368"/>
          <w:marRight w:val="0"/>
          <w:marTop w:val="115"/>
          <w:marBottom w:val="0"/>
          <w:divBdr>
            <w:top w:val="none" w:sz="0" w:space="0" w:color="auto"/>
            <w:left w:val="none" w:sz="0" w:space="0" w:color="auto"/>
            <w:bottom w:val="none" w:sz="0" w:space="0" w:color="auto"/>
            <w:right w:val="none" w:sz="0" w:space="0" w:color="auto"/>
          </w:divBdr>
        </w:div>
        <w:div w:id="1756392529">
          <w:marLeft w:val="1368"/>
          <w:marRight w:val="0"/>
          <w:marTop w:val="115"/>
          <w:marBottom w:val="0"/>
          <w:divBdr>
            <w:top w:val="none" w:sz="0" w:space="0" w:color="auto"/>
            <w:left w:val="none" w:sz="0" w:space="0" w:color="auto"/>
            <w:bottom w:val="none" w:sz="0" w:space="0" w:color="auto"/>
            <w:right w:val="none" w:sz="0" w:space="0" w:color="auto"/>
          </w:divBdr>
        </w:div>
        <w:div w:id="1756392531">
          <w:marLeft w:val="1368"/>
          <w:marRight w:val="0"/>
          <w:marTop w:val="115"/>
          <w:marBottom w:val="0"/>
          <w:divBdr>
            <w:top w:val="none" w:sz="0" w:space="0" w:color="auto"/>
            <w:left w:val="none" w:sz="0" w:space="0" w:color="auto"/>
            <w:bottom w:val="none" w:sz="0" w:space="0" w:color="auto"/>
            <w:right w:val="none" w:sz="0" w:space="0" w:color="auto"/>
          </w:divBdr>
        </w:div>
        <w:div w:id="1756392532">
          <w:marLeft w:val="1368"/>
          <w:marRight w:val="0"/>
          <w:marTop w:val="115"/>
          <w:marBottom w:val="0"/>
          <w:divBdr>
            <w:top w:val="none" w:sz="0" w:space="0" w:color="auto"/>
            <w:left w:val="none" w:sz="0" w:space="0" w:color="auto"/>
            <w:bottom w:val="none" w:sz="0" w:space="0" w:color="auto"/>
            <w:right w:val="none" w:sz="0" w:space="0" w:color="auto"/>
          </w:divBdr>
        </w:div>
      </w:divsChild>
    </w:div>
    <w:div w:id="1756392534">
      <w:marLeft w:val="0"/>
      <w:marRight w:val="0"/>
      <w:marTop w:val="0"/>
      <w:marBottom w:val="0"/>
      <w:divBdr>
        <w:top w:val="none" w:sz="0" w:space="0" w:color="auto"/>
        <w:left w:val="none" w:sz="0" w:space="0" w:color="auto"/>
        <w:bottom w:val="none" w:sz="0" w:space="0" w:color="auto"/>
        <w:right w:val="none" w:sz="0" w:space="0" w:color="auto"/>
      </w:divBdr>
    </w:div>
    <w:div w:id="1756392535">
      <w:marLeft w:val="0"/>
      <w:marRight w:val="0"/>
      <w:marTop w:val="0"/>
      <w:marBottom w:val="0"/>
      <w:divBdr>
        <w:top w:val="none" w:sz="0" w:space="0" w:color="auto"/>
        <w:left w:val="none" w:sz="0" w:space="0" w:color="auto"/>
        <w:bottom w:val="none" w:sz="0" w:space="0" w:color="auto"/>
        <w:right w:val="none" w:sz="0" w:space="0" w:color="auto"/>
      </w:divBdr>
    </w:div>
    <w:div w:id="213444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Layout" Target="diagrams/layout2.xml"/><Relationship Id="rId23"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23CE107-DA59-4C7A-B6F9-7E615376C751}" type="doc">
      <dgm:prSet loTypeId="urn:microsoft.com/office/officeart/2005/8/layout/radial1" loCatId="relationship" qsTypeId="urn:microsoft.com/office/officeart/2005/8/quickstyle/simple1" qsCatId="simple" csTypeId="urn:microsoft.com/office/officeart/2005/8/colors/accent1_2" csCatId="accent1"/>
      <dgm:spPr/>
    </dgm:pt>
    <dgm:pt modelId="{87159667-5136-4EF0-A7BA-5CA0CF8596CE}">
      <dgm:prSet/>
      <dgm:spPr/>
      <dgm:t>
        <a:bodyPr/>
        <a:lstStyle/>
        <a:p>
          <a:pPr marR="0" algn="ctr" rtl="0"/>
          <a:r>
            <a:rPr lang="en-GB" baseline="0" smtClean="0">
              <a:latin typeface="Calibri"/>
            </a:rPr>
            <a:t>Medical Equipment </a:t>
          </a:r>
          <a:r>
            <a:rPr lang="en-GB" b="1" baseline="0" smtClean="0">
              <a:latin typeface="Calibri"/>
            </a:rPr>
            <a:t>asset based issues</a:t>
          </a:r>
          <a:endParaRPr lang="en-GB" smtClean="0"/>
        </a:p>
      </dgm:t>
    </dgm:pt>
    <dgm:pt modelId="{597CB7FB-3C59-4B79-A93D-91B9CC6C2B21}" type="parTrans" cxnId="{BCA7DC8D-95C6-449D-89D0-8E48F389C36A}">
      <dgm:prSet/>
      <dgm:spPr/>
      <dgm:t>
        <a:bodyPr/>
        <a:lstStyle/>
        <a:p>
          <a:endParaRPr lang="en-GB"/>
        </a:p>
      </dgm:t>
    </dgm:pt>
    <dgm:pt modelId="{F32B7441-AA72-4518-AD30-63328882802B}" type="sibTrans" cxnId="{BCA7DC8D-95C6-449D-89D0-8E48F389C36A}">
      <dgm:prSet/>
      <dgm:spPr/>
      <dgm:t>
        <a:bodyPr/>
        <a:lstStyle/>
        <a:p>
          <a:endParaRPr lang="en-GB"/>
        </a:p>
      </dgm:t>
    </dgm:pt>
    <dgm:pt modelId="{1F91CABB-62C6-4049-83DA-00E770DE118D}">
      <dgm:prSet/>
      <dgm:spPr/>
      <dgm:t>
        <a:bodyPr/>
        <a:lstStyle/>
        <a:p>
          <a:pPr marR="0" algn="ctr" rtl="0"/>
          <a:r>
            <a:rPr lang="en-GB" baseline="0" smtClean="0">
              <a:latin typeface="Calibri"/>
            </a:rPr>
            <a:t>Clinical demand for a second CT scanner</a:t>
          </a:r>
          <a:endParaRPr lang="en-GB" smtClean="0"/>
        </a:p>
      </dgm:t>
    </dgm:pt>
    <dgm:pt modelId="{811A427E-6FB3-4923-8D74-68840002CDDA}" type="parTrans" cxnId="{18F80E2D-6FB5-4D26-BA31-0407E822E64A}">
      <dgm:prSet/>
      <dgm:spPr/>
      <dgm:t>
        <a:bodyPr/>
        <a:lstStyle/>
        <a:p>
          <a:endParaRPr lang="en-GB"/>
        </a:p>
      </dgm:t>
    </dgm:pt>
    <dgm:pt modelId="{19CC9CDE-090F-4877-9F0C-3D9C5205298D}" type="sibTrans" cxnId="{18F80E2D-6FB5-4D26-BA31-0407E822E64A}">
      <dgm:prSet/>
      <dgm:spPr/>
      <dgm:t>
        <a:bodyPr/>
        <a:lstStyle/>
        <a:p>
          <a:endParaRPr lang="en-GB"/>
        </a:p>
      </dgm:t>
    </dgm:pt>
    <dgm:pt modelId="{77616FDB-948F-45C5-A2AE-C0A6242BC455}">
      <dgm:prSet/>
      <dgm:spPr/>
      <dgm:t>
        <a:bodyPr/>
        <a:lstStyle/>
        <a:p>
          <a:pPr marR="0" algn="ctr" rtl="0"/>
          <a:r>
            <a:rPr lang="en-GB" baseline="0" smtClean="0">
              <a:latin typeface="Calibri"/>
            </a:rPr>
            <a:t>Consideration of a Hybrid facility and/or additional cath labs</a:t>
          </a:r>
          <a:endParaRPr lang="en-GB" smtClean="0"/>
        </a:p>
      </dgm:t>
    </dgm:pt>
    <dgm:pt modelId="{86FC2821-8ABA-451E-A206-C42262C05F7D}" type="parTrans" cxnId="{5F0D3B65-3916-45DE-B990-A1F5D6C25298}">
      <dgm:prSet/>
      <dgm:spPr/>
      <dgm:t>
        <a:bodyPr/>
        <a:lstStyle/>
        <a:p>
          <a:endParaRPr lang="en-GB"/>
        </a:p>
      </dgm:t>
    </dgm:pt>
    <dgm:pt modelId="{7DABBC7C-DC54-42E6-9A98-CCF338D06B9B}" type="sibTrans" cxnId="{5F0D3B65-3916-45DE-B990-A1F5D6C25298}">
      <dgm:prSet/>
      <dgm:spPr/>
      <dgm:t>
        <a:bodyPr/>
        <a:lstStyle/>
        <a:p>
          <a:endParaRPr lang="en-GB"/>
        </a:p>
      </dgm:t>
    </dgm:pt>
    <dgm:pt modelId="{0D487CAF-52AF-4430-8CE3-E0EB7F07F7CE}">
      <dgm:prSet/>
      <dgm:spPr/>
      <dgm:t>
        <a:bodyPr/>
        <a:lstStyle/>
        <a:p>
          <a:pPr marR="0" algn="ctr" rtl="0"/>
          <a:r>
            <a:rPr lang="en-GB" baseline="0" smtClean="0">
              <a:latin typeface="Calibri"/>
            </a:rPr>
            <a:t>Robotic equipment</a:t>
          </a:r>
          <a:endParaRPr lang="en-GB" smtClean="0"/>
        </a:p>
      </dgm:t>
    </dgm:pt>
    <dgm:pt modelId="{3075009A-328F-4DBB-8CD4-83789C265ED0}" type="parTrans" cxnId="{1F008BA5-155D-4D95-B245-EAC123865257}">
      <dgm:prSet/>
      <dgm:spPr/>
      <dgm:t>
        <a:bodyPr/>
        <a:lstStyle/>
        <a:p>
          <a:endParaRPr lang="en-GB"/>
        </a:p>
      </dgm:t>
    </dgm:pt>
    <dgm:pt modelId="{69FDACF4-04BA-42CC-B082-186561D0AE75}" type="sibTrans" cxnId="{1F008BA5-155D-4D95-B245-EAC123865257}">
      <dgm:prSet/>
      <dgm:spPr/>
      <dgm:t>
        <a:bodyPr/>
        <a:lstStyle/>
        <a:p>
          <a:endParaRPr lang="en-GB"/>
        </a:p>
      </dgm:t>
    </dgm:pt>
    <dgm:pt modelId="{EB01ABEC-7CDE-43EF-9D9B-C636F59400DA}">
      <dgm:prSet/>
      <dgm:spPr/>
      <dgm:t>
        <a:bodyPr/>
        <a:lstStyle/>
        <a:p>
          <a:pPr marR="0" algn="ctr" rtl="0"/>
          <a:r>
            <a:rPr lang="en-GB" baseline="0" smtClean="0">
              <a:latin typeface="Calibri"/>
            </a:rPr>
            <a:t>CSPD Washers and Sterilisers</a:t>
          </a:r>
          <a:endParaRPr lang="en-GB" smtClean="0"/>
        </a:p>
      </dgm:t>
    </dgm:pt>
    <dgm:pt modelId="{E0ACD13C-DA57-4F60-B9BF-86B6BF90C2B4}" type="parTrans" cxnId="{E192AC56-4F84-41B3-9A42-2AC64AB1085A}">
      <dgm:prSet/>
      <dgm:spPr/>
      <dgm:t>
        <a:bodyPr/>
        <a:lstStyle/>
        <a:p>
          <a:endParaRPr lang="en-GB"/>
        </a:p>
      </dgm:t>
    </dgm:pt>
    <dgm:pt modelId="{6481F641-D444-4444-876C-0C23C3B6DC08}" type="sibTrans" cxnId="{E192AC56-4F84-41B3-9A42-2AC64AB1085A}">
      <dgm:prSet/>
      <dgm:spPr/>
      <dgm:t>
        <a:bodyPr/>
        <a:lstStyle/>
        <a:p>
          <a:endParaRPr lang="en-GB"/>
        </a:p>
      </dgm:t>
    </dgm:pt>
    <dgm:pt modelId="{84867CE0-B80A-4B14-9A3F-588A1E6D03C9}">
      <dgm:prSet/>
      <dgm:spPr/>
      <dgm:t>
        <a:bodyPr/>
        <a:lstStyle/>
        <a:p>
          <a:pPr marR="0" algn="ctr" rtl="0"/>
          <a:r>
            <a:rPr lang="en-GB" baseline="0" smtClean="0">
              <a:latin typeface="Calibri"/>
            </a:rPr>
            <a:t>Radiofrequency identification systems for tracking equipment</a:t>
          </a:r>
          <a:endParaRPr lang="en-GB" smtClean="0"/>
        </a:p>
      </dgm:t>
    </dgm:pt>
    <dgm:pt modelId="{779DFB34-82FD-42CA-B757-5A27E976F54C}" type="parTrans" cxnId="{E6381861-D41D-45FC-8258-515C637A8336}">
      <dgm:prSet/>
      <dgm:spPr/>
      <dgm:t>
        <a:bodyPr/>
        <a:lstStyle/>
        <a:p>
          <a:endParaRPr lang="en-GB"/>
        </a:p>
      </dgm:t>
    </dgm:pt>
    <dgm:pt modelId="{C3A34BAA-4B69-4B0F-9B1D-07F636D58144}" type="sibTrans" cxnId="{E6381861-D41D-45FC-8258-515C637A8336}">
      <dgm:prSet/>
      <dgm:spPr/>
      <dgm:t>
        <a:bodyPr/>
        <a:lstStyle/>
        <a:p>
          <a:endParaRPr lang="en-GB"/>
        </a:p>
      </dgm:t>
    </dgm:pt>
    <dgm:pt modelId="{634883AF-9219-4522-BE1A-2B22ABAD7151}" type="pres">
      <dgm:prSet presAssocID="{623CE107-DA59-4C7A-B6F9-7E615376C751}" presName="cycle" presStyleCnt="0">
        <dgm:presLayoutVars>
          <dgm:chMax val="1"/>
          <dgm:dir/>
          <dgm:animLvl val="ctr"/>
          <dgm:resizeHandles val="exact"/>
        </dgm:presLayoutVars>
      </dgm:prSet>
      <dgm:spPr/>
    </dgm:pt>
    <dgm:pt modelId="{CCE0C0D3-BE64-4A6E-A9B8-C19624249675}" type="pres">
      <dgm:prSet presAssocID="{87159667-5136-4EF0-A7BA-5CA0CF8596CE}" presName="centerShape" presStyleLbl="node0" presStyleIdx="0" presStyleCnt="1"/>
      <dgm:spPr/>
      <dgm:t>
        <a:bodyPr/>
        <a:lstStyle/>
        <a:p>
          <a:endParaRPr lang="en-GB"/>
        </a:p>
      </dgm:t>
    </dgm:pt>
    <dgm:pt modelId="{FBF8C4B0-FF41-440E-8E30-FD600B50D9AC}" type="pres">
      <dgm:prSet presAssocID="{811A427E-6FB3-4923-8D74-68840002CDDA}" presName="Name9" presStyleLbl="parChTrans1D2" presStyleIdx="0" presStyleCnt="5"/>
      <dgm:spPr/>
      <dgm:t>
        <a:bodyPr/>
        <a:lstStyle/>
        <a:p>
          <a:endParaRPr lang="en-GB"/>
        </a:p>
      </dgm:t>
    </dgm:pt>
    <dgm:pt modelId="{03B95B71-2023-48D9-8FC7-C60D1B0C028C}" type="pres">
      <dgm:prSet presAssocID="{811A427E-6FB3-4923-8D74-68840002CDDA}" presName="connTx" presStyleLbl="parChTrans1D2" presStyleIdx="0" presStyleCnt="5"/>
      <dgm:spPr/>
      <dgm:t>
        <a:bodyPr/>
        <a:lstStyle/>
        <a:p>
          <a:endParaRPr lang="en-GB"/>
        </a:p>
      </dgm:t>
    </dgm:pt>
    <dgm:pt modelId="{6794D6EB-E938-4B73-8E98-6E23A52B36E7}" type="pres">
      <dgm:prSet presAssocID="{1F91CABB-62C6-4049-83DA-00E770DE118D}" presName="node" presStyleLbl="node1" presStyleIdx="0" presStyleCnt="5">
        <dgm:presLayoutVars>
          <dgm:bulletEnabled val="1"/>
        </dgm:presLayoutVars>
      </dgm:prSet>
      <dgm:spPr/>
      <dgm:t>
        <a:bodyPr/>
        <a:lstStyle/>
        <a:p>
          <a:endParaRPr lang="en-GB"/>
        </a:p>
      </dgm:t>
    </dgm:pt>
    <dgm:pt modelId="{757B1336-7826-4306-B505-71ED61CE68A9}" type="pres">
      <dgm:prSet presAssocID="{86FC2821-8ABA-451E-A206-C42262C05F7D}" presName="Name9" presStyleLbl="parChTrans1D2" presStyleIdx="1" presStyleCnt="5"/>
      <dgm:spPr/>
      <dgm:t>
        <a:bodyPr/>
        <a:lstStyle/>
        <a:p>
          <a:endParaRPr lang="en-GB"/>
        </a:p>
      </dgm:t>
    </dgm:pt>
    <dgm:pt modelId="{55D9B4EC-D6AE-4CB1-9BA0-88FAA8A8490F}" type="pres">
      <dgm:prSet presAssocID="{86FC2821-8ABA-451E-A206-C42262C05F7D}" presName="connTx" presStyleLbl="parChTrans1D2" presStyleIdx="1" presStyleCnt="5"/>
      <dgm:spPr/>
      <dgm:t>
        <a:bodyPr/>
        <a:lstStyle/>
        <a:p>
          <a:endParaRPr lang="en-GB"/>
        </a:p>
      </dgm:t>
    </dgm:pt>
    <dgm:pt modelId="{F92CFDB2-2D5C-4F96-9307-64357BF71FAB}" type="pres">
      <dgm:prSet presAssocID="{77616FDB-948F-45C5-A2AE-C0A6242BC455}" presName="node" presStyleLbl="node1" presStyleIdx="1" presStyleCnt="5">
        <dgm:presLayoutVars>
          <dgm:bulletEnabled val="1"/>
        </dgm:presLayoutVars>
      </dgm:prSet>
      <dgm:spPr/>
      <dgm:t>
        <a:bodyPr/>
        <a:lstStyle/>
        <a:p>
          <a:endParaRPr lang="en-GB"/>
        </a:p>
      </dgm:t>
    </dgm:pt>
    <dgm:pt modelId="{7CAEBE66-9214-4EE7-B116-9030D2C5E49A}" type="pres">
      <dgm:prSet presAssocID="{3075009A-328F-4DBB-8CD4-83789C265ED0}" presName="Name9" presStyleLbl="parChTrans1D2" presStyleIdx="2" presStyleCnt="5"/>
      <dgm:spPr/>
      <dgm:t>
        <a:bodyPr/>
        <a:lstStyle/>
        <a:p>
          <a:endParaRPr lang="en-GB"/>
        </a:p>
      </dgm:t>
    </dgm:pt>
    <dgm:pt modelId="{9E52944C-09BD-4564-9904-F6AD561C6280}" type="pres">
      <dgm:prSet presAssocID="{3075009A-328F-4DBB-8CD4-83789C265ED0}" presName="connTx" presStyleLbl="parChTrans1D2" presStyleIdx="2" presStyleCnt="5"/>
      <dgm:spPr/>
      <dgm:t>
        <a:bodyPr/>
        <a:lstStyle/>
        <a:p>
          <a:endParaRPr lang="en-GB"/>
        </a:p>
      </dgm:t>
    </dgm:pt>
    <dgm:pt modelId="{04C9B498-B9DD-41E2-A82E-2280979D8233}" type="pres">
      <dgm:prSet presAssocID="{0D487CAF-52AF-4430-8CE3-E0EB7F07F7CE}" presName="node" presStyleLbl="node1" presStyleIdx="2" presStyleCnt="5">
        <dgm:presLayoutVars>
          <dgm:bulletEnabled val="1"/>
        </dgm:presLayoutVars>
      </dgm:prSet>
      <dgm:spPr/>
      <dgm:t>
        <a:bodyPr/>
        <a:lstStyle/>
        <a:p>
          <a:endParaRPr lang="en-GB"/>
        </a:p>
      </dgm:t>
    </dgm:pt>
    <dgm:pt modelId="{C9D8704B-8B8C-44D8-B1A3-229BD3D78DAA}" type="pres">
      <dgm:prSet presAssocID="{E0ACD13C-DA57-4F60-B9BF-86B6BF90C2B4}" presName="Name9" presStyleLbl="parChTrans1D2" presStyleIdx="3" presStyleCnt="5"/>
      <dgm:spPr/>
      <dgm:t>
        <a:bodyPr/>
        <a:lstStyle/>
        <a:p>
          <a:endParaRPr lang="en-GB"/>
        </a:p>
      </dgm:t>
    </dgm:pt>
    <dgm:pt modelId="{D0A27F8B-F762-47F4-A8E0-B273D6A404D5}" type="pres">
      <dgm:prSet presAssocID="{E0ACD13C-DA57-4F60-B9BF-86B6BF90C2B4}" presName="connTx" presStyleLbl="parChTrans1D2" presStyleIdx="3" presStyleCnt="5"/>
      <dgm:spPr/>
      <dgm:t>
        <a:bodyPr/>
        <a:lstStyle/>
        <a:p>
          <a:endParaRPr lang="en-GB"/>
        </a:p>
      </dgm:t>
    </dgm:pt>
    <dgm:pt modelId="{AD85FE77-CF48-44FE-9BD3-01C0022D9BBF}" type="pres">
      <dgm:prSet presAssocID="{EB01ABEC-7CDE-43EF-9D9B-C636F59400DA}" presName="node" presStyleLbl="node1" presStyleIdx="3" presStyleCnt="5">
        <dgm:presLayoutVars>
          <dgm:bulletEnabled val="1"/>
        </dgm:presLayoutVars>
      </dgm:prSet>
      <dgm:spPr/>
      <dgm:t>
        <a:bodyPr/>
        <a:lstStyle/>
        <a:p>
          <a:endParaRPr lang="en-GB"/>
        </a:p>
      </dgm:t>
    </dgm:pt>
    <dgm:pt modelId="{1FE2F5C5-9B88-4A6B-BFCA-16B97C134C62}" type="pres">
      <dgm:prSet presAssocID="{779DFB34-82FD-42CA-B757-5A27E976F54C}" presName="Name9" presStyleLbl="parChTrans1D2" presStyleIdx="4" presStyleCnt="5"/>
      <dgm:spPr/>
      <dgm:t>
        <a:bodyPr/>
        <a:lstStyle/>
        <a:p>
          <a:endParaRPr lang="en-GB"/>
        </a:p>
      </dgm:t>
    </dgm:pt>
    <dgm:pt modelId="{A0FD6F15-0529-4622-95D1-EE168D2A6761}" type="pres">
      <dgm:prSet presAssocID="{779DFB34-82FD-42CA-B757-5A27E976F54C}" presName="connTx" presStyleLbl="parChTrans1D2" presStyleIdx="4" presStyleCnt="5"/>
      <dgm:spPr/>
      <dgm:t>
        <a:bodyPr/>
        <a:lstStyle/>
        <a:p>
          <a:endParaRPr lang="en-GB"/>
        </a:p>
      </dgm:t>
    </dgm:pt>
    <dgm:pt modelId="{D0A93F5E-9E2A-4699-8431-D7F4D68182B4}" type="pres">
      <dgm:prSet presAssocID="{84867CE0-B80A-4B14-9A3F-588A1E6D03C9}" presName="node" presStyleLbl="node1" presStyleIdx="4" presStyleCnt="5">
        <dgm:presLayoutVars>
          <dgm:bulletEnabled val="1"/>
        </dgm:presLayoutVars>
      </dgm:prSet>
      <dgm:spPr/>
      <dgm:t>
        <a:bodyPr/>
        <a:lstStyle/>
        <a:p>
          <a:endParaRPr lang="en-GB"/>
        </a:p>
      </dgm:t>
    </dgm:pt>
  </dgm:ptLst>
  <dgm:cxnLst>
    <dgm:cxn modelId="{1F008BA5-155D-4D95-B245-EAC123865257}" srcId="{87159667-5136-4EF0-A7BA-5CA0CF8596CE}" destId="{0D487CAF-52AF-4430-8CE3-E0EB7F07F7CE}" srcOrd="2" destOrd="0" parTransId="{3075009A-328F-4DBB-8CD4-83789C265ED0}" sibTransId="{69FDACF4-04BA-42CC-B082-186561D0AE75}"/>
    <dgm:cxn modelId="{4C679E70-7F14-438D-A59A-AD6C19DDE44A}" type="presOf" srcId="{86FC2821-8ABA-451E-A206-C42262C05F7D}" destId="{757B1336-7826-4306-B505-71ED61CE68A9}" srcOrd="0" destOrd="0" presId="urn:microsoft.com/office/officeart/2005/8/layout/radial1"/>
    <dgm:cxn modelId="{687E13BD-6C6E-4E55-B87A-97DB92D88DA2}" type="presOf" srcId="{E0ACD13C-DA57-4F60-B9BF-86B6BF90C2B4}" destId="{C9D8704B-8B8C-44D8-B1A3-229BD3D78DAA}" srcOrd="0" destOrd="0" presId="urn:microsoft.com/office/officeart/2005/8/layout/radial1"/>
    <dgm:cxn modelId="{2A01FD70-B953-40A8-8E2C-19D4B111413D}" type="presOf" srcId="{3075009A-328F-4DBB-8CD4-83789C265ED0}" destId="{7CAEBE66-9214-4EE7-B116-9030D2C5E49A}" srcOrd="0" destOrd="0" presId="urn:microsoft.com/office/officeart/2005/8/layout/radial1"/>
    <dgm:cxn modelId="{19A204E0-AF16-447F-901C-983BE9EBD57D}" type="presOf" srcId="{E0ACD13C-DA57-4F60-B9BF-86B6BF90C2B4}" destId="{D0A27F8B-F762-47F4-A8E0-B273D6A404D5}" srcOrd="1" destOrd="0" presId="urn:microsoft.com/office/officeart/2005/8/layout/radial1"/>
    <dgm:cxn modelId="{8A9B02CA-6F1C-4F56-AC88-46B8DDA911BA}" type="presOf" srcId="{1F91CABB-62C6-4049-83DA-00E770DE118D}" destId="{6794D6EB-E938-4B73-8E98-6E23A52B36E7}" srcOrd="0" destOrd="0" presId="urn:microsoft.com/office/officeart/2005/8/layout/radial1"/>
    <dgm:cxn modelId="{01CC7EC5-DAE7-4ADE-932D-5A578F43FA33}" type="presOf" srcId="{0D487CAF-52AF-4430-8CE3-E0EB7F07F7CE}" destId="{04C9B498-B9DD-41E2-A82E-2280979D8233}" srcOrd="0" destOrd="0" presId="urn:microsoft.com/office/officeart/2005/8/layout/radial1"/>
    <dgm:cxn modelId="{3323FCED-674F-45A3-8B0B-2CAD55E55C12}" type="presOf" srcId="{3075009A-328F-4DBB-8CD4-83789C265ED0}" destId="{9E52944C-09BD-4564-9904-F6AD561C6280}" srcOrd="1" destOrd="0" presId="urn:microsoft.com/office/officeart/2005/8/layout/radial1"/>
    <dgm:cxn modelId="{56170359-93B8-4EBC-90FB-460519E17D6A}" type="presOf" srcId="{811A427E-6FB3-4923-8D74-68840002CDDA}" destId="{03B95B71-2023-48D9-8FC7-C60D1B0C028C}" srcOrd="1" destOrd="0" presId="urn:microsoft.com/office/officeart/2005/8/layout/radial1"/>
    <dgm:cxn modelId="{C622FE3A-6DBF-45A5-A668-D70C981BBB59}" type="presOf" srcId="{779DFB34-82FD-42CA-B757-5A27E976F54C}" destId="{1FE2F5C5-9B88-4A6B-BFCA-16B97C134C62}" srcOrd="0" destOrd="0" presId="urn:microsoft.com/office/officeart/2005/8/layout/radial1"/>
    <dgm:cxn modelId="{E6381861-D41D-45FC-8258-515C637A8336}" srcId="{87159667-5136-4EF0-A7BA-5CA0CF8596CE}" destId="{84867CE0-B80A-4B14-9A3F-588A1E6D03C9}" srcOrd="4" destOrd="0" parTransId="{779DFB34-82FD-42CA-B757-5A27E976F54C}" sibTransId="{C3A34BAA-4B69-4B0F-9B1D-07F636D58144}"/>
    <dgm:cxn modelId="{C8F3147B-D5F6-4996-9D65-8D8E992CEC92}" type="presOf" srcId="{77616FDB-948F-45C5-A2AE-C0A6242BC455}" destId="{F92CFDB2-2D5C-4F96-9307-64357BF71FAB}" srcOrd="0" destOrd="0" presId="urn:microsoft.com/office/officeart/2005/8/layout/radial1"/>
    <dgm:cxn modelId="{6DB9E00A-8A88-438E-ADD7-12C44DFCAAF2}" type="presOf" srcId="{84867CE0-B80A-4B14-9A3F-588A1E6D03C9}" destId="{D0A93F5E-9E2A-4699-8431-D7F4D68182B4}" srcOrd="0" destOrd="0" presId="urn:microsoft.com/office/officeart/2005/8/layout/radial1"/>
    <dgm:cxn modelId="{36394D48-97E0-428C-A926-57ED9C30C8C8}" type="presOf" srcId="{87159667-5136-4EF0-A7BA-5CA0CF8596CE}" destId="{CCE0C0D3-BE64-4A6E-A9B8-C19624249675}" srcOrd="0" destOrd="0" presId="urn:microsoft.com/office/officeart/2005/8/layout/radial1"/>
    <dgm:cxn modelId="{5F0D3B65-3916-45DE-B990-A1F5D6C25298}" srcId="{87159667-5136-4EF0-A7BA-5CA0CF8596CE}" destId="{77616FDB-948F-45C5-A2AE-C0A6242BC455}" srcOrd="1" destOrd="0" parTransId="{86FC2821-8ABA-451E-A206-C42262C05F7D}" sibTransId="{7DABBC7C-DC54-42E6-9A98-CCF338D06B9B}"/>
    <dgm:cxn modelId="{1F2F95E8-1DCE-4481-B90F-81AD4C489FBD}" type="presOf" srcId="{623CE107-DA59-4C7A-B6F9-7E615376C751}" destId="{634883AF-9219-4522-BE1A-2B22ABAD7151}" srcOrd="0" destOrd="0" presId="urn:microsoft.com/office/officeart/2005/8/layout/radial1"/>
    <dgm:cxn modelId="{18F80E2D-6FB5-4D26-BA31-0407E822E64A}" srcId="{87159667-5136-4EF0-A7BA-5CA0CF8596CE}" destId="{1F91CABB-62C6-4049-83DA-00E770DE118D}" srcOrd="0" destOrd="0" parTransId="{811A427E-6FB3-4923-8D74-68840002CDDA}" sibTransId="{19CC9CDE-090F-4877-9F0C-3D9C5205298D}"/>
    <dgm:cxn modelId="{53BA2DEB-FD88-49A6-878A-B9D9B06A835D}" type="presOf" srcId="{86FC2821-8ABA-451E-A206-C42262C05F7D}" destId="{55D9B4EC-D6AE-4CB1-9BA0-88FAA8A8490F}" srcOrd="1" destOrd="0" presId="urn:microsoft.com/office/officeart/2005/8/layout/radial1"/>
    <dgm:cxn modelId="{BCA7DC8D-95C6-449D-89D0-8E48F389C36A}" srcId="{623CE107-DA59-4C7A-B6F9-7E615376C751}" destId="{87159667-5136-4EF0-A7BA-5CA0CF8596CE}" srcOrd="0" destOrd="0" parTransId="{597CB7FB-3C59-4B79-A93D-91B9CC6C2B21}" sibTransId="{F32B7441-AA72-4518-AD30-63328882802B}"/>
    <dgm:cxn modelId="{FD7E5FBD-97EB-4AEB-A8D8-4F9141C2EA09}" type="presOf" srcId="{779DFB34-82FD-42CA-B757-5A27E976F54C}" destId="{A0FD6F15-0529-4622-95D1-EE168D2A6761}" srcOrd="1" destOrd="0" presId="urn:microsoft.com/office/officeart/2005/8/layout/radial1"/>
    <dgm:cxn modelId="{FE013B79-CE4D-4021-B71F-2ED71BABDAE3}" type="presOf" srcId="{811A427E-6FB3-4923-8D74-68840002CDDA}" destId="{FBF8C4B0-FF41-440E-8E30-FD600B50D9AC}" srcOrd="0" destOrd="0" presId="urn:microsoft.com/office/officeart/2005/8/layout/radial1"/>
    <dgm:cxn modelId="{238C440A-484E-4D34-A182-51074F83E3E8}" type="presOf" srcId="{EB01ABEC-7CDE-43EF-9D9B-C636F59400DA}" destId="{AD85FE77-CF48-44FE-9BD3-01C0022D9BBF}" srcOrd="0" destOrd="0" presId="urn:microsoft.com/office/officeart/2005/8/layout/radial1"/>
    <dgm:cxn modelId="{E192AC56-4F84-41B3-9A42-2AC64AB1085A}" srcId="{87159667-5136-4EF0-A7BA-5CA0CF8596CE}" destId="{EB01ABEC-7CDE-43EF-9D9B-C636F59400DA}" srcOrd="3" destOrd="0" parTransId="{E0ACD13C-DA57-4F60-B9BF-86B6BF90C2B4}" sibTransId="{6481F641-D444-4444-876C-0C23C3B6DC08}"/>
    <dgm:cxn modelId="{B1BDA426-91AF-4554-916F-EFBB74ED1723}" type="presParOf" srcId="{634883AF-9219-4522-BE1A-2B22ABAD7151}" destId="{CCE0C0D3-BE64-4A6E-A9B8-C19624249675}" srcOrd="0" destOrd="0" presId="urn:microsoft.com/office/officeart/2005/8/layout/radial1"/>
    <dgm:cxn modelId="{C8316518-DB9D-4C2E-9813-5EAC65CB1BF9}" type="presParOf" srcId="{634883AF-9219-4522-BE1A-2B22ABAD7151}" destId="{FBF8C4B0-FF41-440E-8E30-FD600B50D9AC}" srcOrd="1" destOrd="0" presId="urn:microsoft.com/office/officeart/2005/8/layout/radial1"/>
    <dgm:cxn modelId="{6EC08920-4078-4FE0-A543-CF2616A5B06C}" type="presParOf" srcId="{FBF8C4B0-FF41-440E-8E30-FD600B50D9AC}" destId="{03B95B71-2023-48D9-8FC7-C60D1B0C028C}" srcOrd="0" destOrd="0" presId="urn:microsoft.com/office/officeart/2005/8/layout/radial1"/>
    <dgm:cxn modelId="{A8D12000-D694-49D6-8402-D5EF02EAD577}" type="presParOf" srcId="{634883AF-9219-4522-BE1A-2B22ABAD7151}" destId="{6794D6EB-E938-4B73-8E98-6E23A52B36E7}" srcOrd="2" destOrd="0" presId="urn:microsoft.com/office/officeart/2005/8/layout/radial1"/>
    <dgm:cxn modelId="{38D31136-D2E3-49A2-B4A2-2CDD06F73B1E}" type="presParOf" srcId="{634883AF-9219-4522-BE1A-2B22ABAD7151}" destId="{757B1336-7826-4306-B505-71ED61CE68A9}" srcOrd="3" destOrd="0" presId="urn:microsoft.com/office/officeart/2005/8/layout/radial1"/>
    <dgm:cxn modelId="{1DDBDAC0-FCAB-4E18-BB14-9FDE6855AE6D}" type="presParOf" srcId="{757B1336-7826-4306-B505-71ED61CE68A9}" destId="{55D9B4EC-D6AE-4CB1-9BA0-88FAA8A8490F}" srcOrd="0" destOrd="0" presId="urn:microsoft.com/office/officeart/2005/8/layout/radial1"/>
    <dgm:cxn modelId="{834457FC-3FA8-45B2-97BD-2BB957DF8F6F}" type="presParOf" srcId="{634883AF-9219-4522-BE1A-2B22ABAD7151}" destId="{F92CFDB2-2D5C-4F96-9307-64357BF71FAB}" srcOrd="4" destOrd="0" presId="urn:microsoft.com/office/officeart/2005/8/layout/radial1"/>
    <dgm:cxn modelId="{03D2565C-F86A-4078-BDA9-B36A0372EC1C}" type="presParOf" srcId="{634883AF-9219-4522-BE1A-2B22ABAD7151}" destId="{7CAEBE66-9214-4EE7-B116-9030D2C5E49A}" srcOrd="5" destOrd="0" presId="urn:microsoft.com/office/officeart/2005/8/layout/radial1"/>
    <dgm:cxn modelId="{28E4565E-0B53-431F-B941-C407559D90FF}" type="presParOf" srcId="{7CAEBE66-9214-4EE7-B116-9030D2C5E49A}" destId="{9E52944C-09BD-4564-9904-F6AD561C6280}" srcOrd="0" destOrd="0" presId="urn:microsoft.com/office/officeart/2005/8/layout/radial1"/>
    <dgm:cxn modelId="{6698F9A4-022E-4A20-8644-0AB778851419}" type="presParOf" srcId="{634883AF-9219-4522-BE1A-2B22ABAD7151}" destId="{04C9B498-B9DD-41E2-A82E-2280979D8233}" srcOrd="6" destOrd="0" presId="urn:microsoft.com/office/officeart/2005/8/layout/radial1"/>
    <dgm:cxn modelId="{D941B61F-189B-4BA2-8A2E-A48E52734C5D}" type="presParOf" srcId="{634883AF-9219-4522-BE1A-2B22ABAD7151}" destId="{C9D8704B-8B8C-44D8-B1A3-229BD3D78DAA}" srcOrd="7" destOrd="0" presId="urn:microsoft.com/office/officeart/2005/8/layout/radial1"/>
    <dgm:cxn modelId="{D52D9983-DB5A-465B-B887-C6F6E3281C30}" type="presParOf" srcId="{C9D8704B-8B8C-44D8-B1A3-229BD3D78DAA}" destId="{D0A27F8B-F762-47F4-A8E0-B273D6A404D5}" srcOrd="0" destOrd="0" presId="urn:microsoft.com/office/officeart/2005/8/layout/radial1"/>
    <dgm:cxn modelId="{7B3BEB69-FFAE-4867-AEA3-0351AEF9B481}" type="presParOf" srcId="{634883AF-9219-4522-BE1A-2B22ABAD7151}" destId="{AD85FE77-CF48-44FE-9BD3-01C0022D9BBF}" srcOrd="8" destOrd="0" presId="urn:microsoft.com/office/officeart/2005/8/layout/radial1"/>
    <dgm:cxn modelId="{31F66D0D-748E-4AB1-A0B7-D595D36BFD71}" type="presParOf" srcId="{634883AF-9219-4522-BE1A-2B22ABAD7151}" destId="{1FE2F5C5-9B88-4A6B-BFCA-16B97C134C62}" srcOrd="9" destOrd="0" presId="urn:microsoft.com/office/officeart/2005/8/layout/radial1"/>
    <dgm:cxn modelId="{823B56D2-AD98-4454-8EE1-4F7838A1798E}" type="presParOf" srcId="{1FE2F5C5-9B88-4A6B-BFCA-16B97C134C62}" destId="{A0FD6F15-0529-4622-95D1-EE168D2A6761}" srcOrd="0" destOrd="0" presId="urn:microsoft.com/office/officeart/2005/8/layout/radial1"/>
    <dgm:cxn modelId="{F23379A5-4FFE-47A1-A171-54C03BDBB7B9}" type="presParOf" srcId="{634883AF-9219-4522-BE1A-2B22ABAD7151}" destId="{D0A93F5E-9E2A-4699-8431-D7F4D68182B4}" srcOrd="10" destOrd="0" presId="urn:microsoft.com/office/officeart/2005/8/layout/radial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87FCA89-645D-4A1D-993F-55E2FB599380}" type="doc">
      <dgm:prSet loTypeId="urn:microsoft.com/office/officeart/2005/8/layout/radial1" loCatId="relationship" qsTypeId="urn:microsoft.com/office/officeart/2005/8/quickstyle/simple1" qsCatId="simple" csTypeId="urn:microsoft.com/office/officeart/2005/8/colors/accent1_2" csCatId="accent1"/>
      <dgm:spPr/>
    </dgm:pt>
    <dgm:pt modelId="{F61BA2A4-2805-43DF-9976-2A303E06D935}">
      <dgm:prSet/>
      <dgm:spPr/>
      <dgm:t>
        <a:bodyPr/>
        <a:lstStyle/>
        <a:p>
          <a:pPr marR="0" algn="ctr" rtl="0"/>
          <a:r>
            <a:rPr lang="en-GB" baseline="0" smtClean="0">
              <a:latin typeface="Calibri"/>
            </a:rPr>
            <a:t>Land and Building </a:t>
          </a:r>
          <a:r>
            <a:rPr lang="en-GB" b="1" baseline="0" smtClean="0">
              <a:latin typeface="Calibri"/>
            </a:rPr>
            <a:t>asset based issued</a:t>
          </a:r>
          <a:endParaRPr lang="en-GB" smtClean="0"/>
        </a:p>
      </dgm:t>
    </dgm:pt>
    <dgm:pt modelId="{E9FB6E47-BC5B-45A7-BD3F-5026D2D50B12}" type="parTrans" cxnId="{D733C790-189E-4934-89E0-FD80E7BF0381}">
      <dgm:prSet/>
      <dgm:spPr/>
    </dgm:pt>
    <dgm:pt modelId="{C7F41571-18EA-4446-8100-C1231501E42B}" type="sibTrans" cxnId="{D733C790-189E-4934-89E0-FD80E7BF0381}">
      <dgm:prSet/>
      <dgm:spPr/>
    </dgm:pt>
    <dgm:pt modelId="{C1A803F7-DAF2-4014-8577-8C2D3DEAAD90}">
      <dgm:prSet/>
      <dgm:spPr/>
      <dgm:t>
        <a:bodyPr/>
        <a:lstStyle/>
        <a:p>
          <a:pPr marR="0" algn="ctr" rtl="0"/>
          <a:r>
            <a:rPr lang="en-GB" baseline="0" smtClean="0">
              <a:latin typeface="Calibri"/>
            </a:rPr>
            <a:t>Space within existing building</a:t>
          </a:r>
          <a:endParaRPr lang="en-GB" smtClean="0"/>
        </a:p>
      </dgm:t>
    </dgm:pt>
    <dgm:pt modelId="{B21B7B2C-30C4-4792-9FCE-F73296F1EFDA}" type="parTrans" cxnId="{07AEB07A-5645-49F3-A508-16DF80292C84}">
      <dgm:prSet/>
      <dgm:spPr/>
      <dgm:t>
        <a:bodyPr/>
        <a:lstStyle/>
        <a:p>
          <a:endParaRPr lang="en-GB"/>
        </a:p>
      </dgm:t>
    </dgm:pt>
    <dgm:pt modelId="{7A267AF2-F931-4C2F-876A-192C17A17E30}" type="sibTrans" cxnId="{07AEB07A-5645-49F3-A508-16DF80292C84}">
      <dgm:prSet/>
      <dgm:spPr/>
    </dgm:pt>
    <dgm:pt modelId="{5F5C7C26-D063-430F-A72E-C759E9FE749E}">
      <dgm:prSet/>
      <dgm:spPr/>
      <dgm:t>
        <a:bodyPr/>
        <a:lstStyle/>
        <a:p>
          <a:pPr marR="0" algn="ctr" rtl="0"/>
          <a:r>
            <a:rPr lang="en-GB" baseline="0" smtClean="0">
              <a:latin typeface="Calibri"/>
            </a:rPr>
            <a:t>Maintenance of the fabric of the existing building</a:t>
          </a:r>
          <a:endParaRPr lang="en-GB" smtClean="0"/>
        </a:p>
      </dgm:t>
    </dgm:pt>
    <dgm:pt modelId="{C0604C99-9814-4437-9B0D-F0D812E0AB24}" type="parTrans" cxnId="{0722F1DE-86BA-4654-AB5F-2E020D152644}">
      <dgm:prSet/>
      <dgm:spPr/>
      <dgm:t>
        <a:bodyPr/>
        <a:lstStyle/>
        <a:p>
          <a:endParaRPr lang="en-GB"/>
        </a:p>
      </dgm:t>
    </dgm:pt>
    <dgm:pt modelId="{0ABE9A80-BD3D-4E4D-A99E-87269C6B1AD4}" type="sibTrans" cxnId="{0722F1DE-86BA-4654-AB5F-2E020D152644}">
      <dgm:prSet/>
      <dgm:spPr/>
    </dgm:pt>
    <dgm:pt modelId="{A439801A-E84E-4035-A3D9-D13309642FAE}">
      <dgm:prSet/>
      <dgm:spPr/>
      <dgm:t>
        <a:bodyPr/>
        <a:lstStyle/>
        <a:p>
          <a:pPr marR="0" algn="ctr" rtl="0"/>
          <a:r>
            <a:rPr lang="en-GB" baseline="0" smtClean="0">
              <a:latin typeface="Calibri"/>
            </a:rPr>
            <a:t>Implications of new accounting standards with implications for leasing</a:t>
          </a:r>
          <a:endParaRPr lang="en-GB" smtClean="0"/>
        </a:p>
      </dgm:t>
    </dgm:pt>
    <dgm:pt modelId="{B35C1B72-3EAE-4ED1-AD41-42AFBF48C533}" type="parTrans" cxnId="{D557D41D-7B45-459A-B26F-4FC0EB961D16}">
      <dgm:prSet/>
      <dgm:spPr/>
      <dgm:t>
        <a:bodyPr/>
        <a:lstStyle/>
        <a:p>
          <a:endParaRPr lang="en-GB"/>
        </a:p>
      </dgm:t>
    </dgm:pt>
    <dgm:pt modelId="{98C7AEAC-06DA-4938-B3D4-BE03973421E3}" type="sibTrans" cxnId="{D557D41D-7B45-459A-B26F-4FC0EB961D16}">
      <dgm:prSet/>
      <dgm:spPr/>
    </dgm:pt>
    <dgm:pt modelId="{305B6E80-2AF5-4635-A7A7-21B3738C4527}">
      <dgm:prSet/>
      <dgm:spPr/>
      <dgm:t>
        <a:bodyPr/>
        <a:lstStyle/>
        <a:p>
          <a:pPr marR="0" algn="ctr" rtl="0"/>
          <a:r>
            <a:rPr lang="en-GB" baseline="0" smtClean="0">
              <a:latin typeface="Calibri"/>
            </a:rPr>
            <a:t>Continued drive to reduce carbon emissions</a:t>
          </a:r>
          <a:endParaRPr lang="en-GB" smtClean="0"/>
        </a:p>
      </dgm:t>
    </dgm:pt>
    <dgm:pt modelId="{82B36AC6-20B8-46E8-805D-89917126E8A1}" type="parTrans" cxnId="{79FE14B1-8B55-49DE-ACD6-785BCFD239F0}">
      <dgm:prSet/>
      <dgm:spPr/>
      <dgm:t>
        <a:bodyPr/>
        <a:lstStyle/>
        <a:p>
          <a:endParaRPr lang="en-GB"/>
        </a:p>
      </dgm:t>
    </dgm:pt>
    <dgm:pt modelId="{CF44D9EB-B0CF-403C-BC66-02D9191B7B5D}" type="sibTrans" cxnId="{79FE14B1-8B55-49DE-ACD6-785BCFD239F0}">
      <dgm:prSet/>
      <dgm:spPr/>
    </dgm:pt>
    <dgm:pt modelId="{F9283114-131E-4D73-A69C-584CC38E5FFB}">
      <dgm:prSet/>
      <dgm:spPr/>
      <dgm:t>
        <a:bodyPr/>
        <a:lstStyle/>
        <a:p>
          <a:pPr marR="0" algn="ctr" rtl="0"/>
          <a:r>
            <a:rPr lang="en-GB" baseline="0" smtClean="0">
              <a:latin typeface="Calibri"/>
            </a:rPr>
            <a:t>Car Parking</a:t>
          </a:r>
          <a:endParaRPr lang="en-GB" smtClean="0"/>
        </a:p>
      </dgm:t>
    </dgm:pt>
    <dgm:pt modelId="{E4048036-2508-4A59-BE14-BF0BA4E75D90}" type="parTrans" cxnId="{D2B50CC7-BB47-4991-A78E-862322694C50}">
      <dgm:prSet/>
      <dgm:spPr/>
      <dgm:t>
        <a:bodyPr/>
        <a:lstStyle/>
        <a:p>
          <a:endParaRPr lang="en-GB"/>
        </a:p>
      </dgm:t>
    </dgm:pt>
    <dgm:pt modelId="{5B706BC0-711C-43CE-904F-06B6E97EE861}" type="sibTrans" cxnId="{D2B50CC7-BB47-4991-A78E-862322694C50}">
      <dgm:prSet/>
      <dgm:spPr/>
    </dgm:pt>
    <dgm:pt modelId="{DE827246-5749-4675-B8DC-D2888D0B0FD4}">
      <dgm:prSet/>
      <dgm:spPr/>
      <dgm:t>
        <a:bodyPr/>
        <a:lstStyle/>
        <a:p>
          <a:pPr marR="0" algn="ctr" rtl="0"/>
          <a:r>
            <a:rPr lang="en-GB" baseline="0" smtClean="0">
              <a:latin typeface="Calibri"/>
            </a:rPr>
            <a:t>Transport Links</a:t>
          </a:r>
          <a:endParaRPr lang="en-GB" smtClean="0"/>
        </a:p>
      </dgm:t>
    </dgm:pt>
    <dgm:pt modelId="{859A3692-76D8-43BD-AE48-C1FA0A8A500E}" type="parTrans" cxnId="{1BFFD8DA-AEF8-4F35-A92E-A8E03381108B}">
      <dgm:prSet/>
      <dgm:spPr/>
      <dgm:t>
        <a:bodyPr/>
        <a:lstStyle/>
        <a:p>
          <a:endParaRPr lang="en-GB"/>
        </a:p>
      </dgm:t>
    </dgm:pt>
    <dgm:pt modelId="{38FAF1AE-A6D0-4970-8787-6505168D09E7}" type="sibTrans" cxnId="{1BFFD8DA-AEF8-4F35-A92E-A8E03381108B}">
      <dgm:prSet/>
      <dgm:spPr/>
    </dgm:pt>
    <dgm:pt modelId="{ED32C1F9-1D3A-4170-B5EA-E14619DAAACC}">
      <dgm:prSet/>
      <dgm:spPr/>
      <dgm:t>
        <a:bodyPr/>
        <a:lstStyle/>
        <a:p>
          <a:pPr marR="0" algn="ctr" rtl="0"/>
          <a:r>
            <a:rPr lang="en-GB" baseline="0" smtClean="0">
              <a:latin typeface="Calibri"/>
            </a:rPr>
            <a:t>Innovations in space utilisation requiring deregation</a:t>
          </a:r>
          <a:endParaRPr lang="en-GB" smtClean="0"/>
        </a:p>
      </dgm:t>
    </dgm:pt>
    <dgm:pt modelId="{6C33C312-8B99-4843-B17F-639549BB492C}" type="parTrans" cxnId="{4B55BAC1-7B2E-499A-998F-4FB73220AAEF}">
      <dgm:prSet/>
      <dgm:spPr/>
      <dgm:t>
        <a:bodyPr/>
        <a:lstStyle/>
        <a:p>
          <a:endParaRPr lang="en-GB"/>
        </a:p>
      </dgm:t>
    </dgm:pt>
    <dgm:pt modelId="{5CF0AA28-2533-4BAD-9732-9CE31AAC3E72}" type="sibTrans" cxnId="{4B55BAC1-7B2E-499A-998F-4FB73220AAEF}">
      <dgm:prSet/>
      <dgm:spPr/>
    </dgm:pt>
    <dgm:pt modelId="{DD54E045-59B3-4A0A-82E4-C1568CFB6846}">
      <dgm:prSet/>
      <dgm:spPr/>
      <dgm:t>
        <a:bodyPr/>
        <a:lstStyle/>
        <a:p>
          <a:pPr marR="0" algn="l" rtl="0"/>
          <a:r>
            <a:rPr lang="en-GB" baseline="0" smtClean="0">
              <a:latin typeface="Calibri"/>
            </a:rPr>
            <a:t>CSPD space and equipment replacement</a:t>
          </a:r>
          <a:endParaRPr lang="en-GB" smtClean="0"/>
        </a:p>
      </dgm:t>
    </dgm:pt>
    <dgm:pt modelId="{B4B1CDB5-2A36-4AC0-AB06-246DE735E4AF}" type="parTrans" cxnId="{24E7A328-880A-4E0C-83C4-0D77A46C8A8F}">
      <dgm:prSet/>
      <dgm:spPr/>
      <dgm:t>
        <a:bodyPr/>
        <a:lstStyle/>
        <a:p>
          <a:endParaRPr lang="en-GB"/>
        </a:p>
      </dgm:t>
    </dgm:pt>
    <dgm:pt modelId="{3BF9FFA1-8A61-4791-9CF1-9B3DB4DAFB08}" type="sibTrans" cxnId="{24E7A328-880A-4E0C-83C4-0D77A46C8A8F}">
      <dgm:prSet/>
      <dgm:spPr/>
    </dgm:pt>
    <dgm:pt modelId="{7BF19729-430E-46A1-9712-CD7898645ABE}" type="pres">
      <dgm:prSet presAssocID="{787FCA89-645D-4A1D-993F-55E2FB599380}" presName="cycle" presStyleCnt="0">
        <dgm:presLayoutVars>
          <dgm:chMax val="1"/>
          <dgm:dir/>
          <dgm:animLvl val="ctr"/>
          <dgm:resizeHandles val="exact"/>
        </dgm:presLayoutVars>
      </dgm:prSet>
      <dgm:spPr/>
    </dgm:pt>
    <dgm:pt modelId="{5F972189-EE93-4A5F-A582-B66E69AEF8FD}" type="pres">
      <dgm:prSet presAssocID="{F61BA2A4-2805-43DF-9976-2A303E06D935}" presName="centerShape" presStyleLbl="node0" presStyleIdx="0" presStyleCnt="1"/>
      <dgm:spPr/>
      <dgm:t>
        <a:bodyPr/>
        <a:lstStyle/>
        <a:p>
          <a:endParaRPr lang="en-GB"/>
        </a:p>
      </dgm:t>
    </dgm:pt>
    <dgm:pt modelId="{B9859827-6F3C-436C-92EC-E1815B99863F}" type="pres">
      <dgm:prSet presAssocID="{B21B7B2C-30C4-4792-9FCE-F73296F1EFDA}" presName="Name9" presStyleLbl="parChTrans1D2" presStyleIdx="0" presStyleCnt="8"/>
      <dgm:spPr/>
      <dgm:t>
        <a:bodyPr/>
        <a:lstStyle/>
        <a:p>
          <a:endParaRPr lang="en-GB"/>
        </a:p>
      </dgm:t>
    </dgm:pt>
    <dgm:pt modelId="{7237A6F2-39A3-43BC-804B-F45F2C5CE45D}" type="pres">
      <dgm:prSet presAssocID="{B21B7B2C-30C4-4792-9FCE-F73296F1EFDA}" presName="connTx" presStyleLbl="parChTrans1D2" presStyleIdx="0" presStyleCnt="8"/>
      <dgm:spPr/>
      <dgm:t>
        <a:bodyPr/>
        <a:lstStyle/>
        <a:p>
          <a:endParaRPr lang="en-GB"/>
        </a:p>
      </dgm:t>
    </dgm:pt>
    <dgm:pt modelId="{6792387A-BFFC-40B9-85A8-E0CA38F2BE37}" type="pres">
      <dgm:prSet presAssocID="{C1A803F7-DAF2-4014-8577-8C2D3DEAAD90}" presName="node" presStyleLbl="node1" presStyleIdx="0" presStyleCnt="8">
        <dgm:presLayoutVars>
          <dgm:bulletEnabled val="1"/>
        </dgm:presLayoutVars>
      </dgm:prSet>
      <dgm:spPr/>
      <dgm:t>
        <a:bodyPr/>
        <a:lstStyle/>
        <a:p>
          <a:endParaRPr lang="en-GB"/>
        </a:p>
      </dgm:t>
    </dgm:pt>
    <dgm:pt modelId="{BD493458-4E28-4EDA-BD69-9E2B2C272E77}" type="pres">
      <dgm:prSet presAssocID="{C0604C99-9814-4437-9B0D-F0D812E0AB24}" presName="Name9" presStyleLbl="parChTrans1D2" presStyleIdx="1" presStyleCnt="8"/>
      <dgm:spPr/>
      <dgm:t>
        <a:bodyPr/>
        <a:lstStyle/>
        <a:p>
          <a:endParaRPr lang="en-GB"/>
        </a:p>
      </dgm:t>
    </dgm:pt>
    <dgm:pt modelId="{C8F5855A-266C-41A7-8564-E2F0EE34DBDB}" type="pres">
      <dgm:prSet presAssocID="{C0604C99-9814-4437-9B0D-F0D812E0AB24}" presName="connTx" presStyleLbl="parChTrans1D2" presStyleIdx="1" presStyleCnt="8"/>
      <dgm:spPr/>
      <dgm:t>
        <a:bodyPr/>
        <a:lstStyle/>
        <a:p>
          <a:endParaRPr lang="en-GB"/>
        </a:p>
      </dgm:t>
    </dgm:pt>
    <dgm:pt modelId="{13CE4BBD-BC20-4B7A-B09F-78E29B57572A}" type="pres">
      <dgm:prSet presAssocID="{5F5C7C26-D063-430F-A72E-C759E9FE749E}" presName="node" presStyleLbl="node1" presStyleIdx="1" presStyleCnt="8">
        <dgm:presLayoutVars>
          <dgm:bulletEnabled val="1"/>
        </dgm:presLayoutVars>
      </dgm:prSet>
      <dgm:spPr/>
      <dgm:t>
        <a:bodyPr/>
        <a:lstStyle/>
        <a:p>
          <a:endParaRPr lang="en-GB"/>
        </a:p>
      </dgm:t>
    </dgm:pt>
    <dgm:pt modelId="{1D4FA02E-4136-4B53-9F70-87C493A88326}" type="pres">
      <dgm:prSet presAssocID="{B35C1B72-3EAE-4ED1-AD41-42AFBF48C533}" presName="Name9" presStyleLbl="parChTrans1D2" presStyleIdx="2" presStyleCnt="8"/>
      <dgm:spPr/>
      <dgm:t>
        <a:bodyPr/>
        <a:lstStyle/>
        <a:p>
          <a:endParaRPr lang="en-GB"/>
        </a:p>
      </dgm:t>
    </dgm:pt>
    <dgm:pt modelId="{42BFDDF0-ED9C-4117-858B-A6B1905AD189}" type="pres">
      <dgm:prSet presAssocID="{B35C1B72-3EAE-4ED1-AD41-42AFBF48C533}" presName="connTx" presStyleLbl="parChTrans1D2" presStyleIdx="2" presStyleCnt="8"/>
      <dgm:spPr/>
      <dgm:t>
        <a:bodyPr/>
        <a:lstStyle/>
        <a:p>
          <a:endParaRPr lang="en-GB"/>
        </a:p>
      </dgm:t>
    </dgm:pt>
    <dgm:pt modelId="{6E38E529-6D3E-4667-9240-F3878D7E124E}" type="pres">
      <dgm:prSet presAssocID="{A439801A-E84E-4035-A3D9-D13309642FAE}" presName="node" presStyleLbl="node1" presStyleIdx="2" presStyleCnt="8">
        <dgm:presLayoutVars>
          <dgm:bulletEnabled val="1"/>
        </dgm:presLayoutVars>
      </dgm:prSet>
      <dgm:spPr/>
      <dgm:t>
        <a:bodyPr/>
        <a:lstStyle/>
        <a:p>
          <a:endParaRPr lang="en-GB"/>
        </a:p>
      </dgm:t>
    </dgm:pt>
    <dgm:pt modelId="{6B0E4464-091D-4E83-ADDA-288725C1E7B3}" type="pres">
      <dgm:prSet presAssocID="{82B36AC6-20B8-46E8-805D-89917126E8A1}" presName="Name9" presStyleLbl="parChTrans1D2" presStyleIdx="3" presStyleCnt="8"/>
      <dgm:spPr/>
      <dgm:t>
        <a:bodyPr/>
        <a:lstStyle/>
        <a:p>
          <a:endParaRPr lang="en-GB"/>
        </a:p>
      </dgm:t>
    </dgm:pt>
    <dgm:pt modelId="{0FB9F566-A1BF-40F2-96FC-5D08246D996F}" type="pres">
      <dgm:prSet presAssocID="{82B36AC6-20B8-46E8-805D-89917126E8A1}" presName="connTx" presStyleLbl="parChTrans1D2" presStyleIdx="3" presStyleCnt="8"/>
      <dgm:spPr/>
      <dgm:t>
        <a:bodyPr/>
        <a:lstStyle/>
        <a:p>
          <a:endParaRPr lang="en-GB"/>
        </a:p>
      </dgm:t>
    </dgm:pt>
    <dgm:pt modelId="{747E776D-40E3-4166-9C13-C75BF9593461}" type="pres">
      <dgm:prSet presAssocID="{305B6E80-2AF5-4635-A7A7-21B3738C4527}" presName="node" presStyleLbl="node1" presStyleIdx="3" presStyleCnt="8">
        <dgm:presLayoutVars>
          <dgm:bulletEnabled val="1"/>
        </dgm:presLayoutVars>
      </dgm:prSet>
      <dgm:spPr/>
      <dgm:t>
        <a:bodyPr/>
        <a:lstStyle/>
        <a:p>
          <a:endParaRPr lang="en-GB"/>
        </a:p>
      </dgm:t>
    </dgm:pt>
    <dgm:pt modelId="{E6DF2A0F-7B0F-4708-ABF4-E2EF18519DA1}" type="pres">
      <dgm:prSet presAssocID="{E4048036-2508-4A59-BE14-BF0BA4E75D90}" presName="Name9" presStyleLbl="parChTrans1D2" presStyleIdx="4" presStyleCnt="8"/>
      <dgm:spPr/>
      <dgm:t>
        <a:bodyPr/>
        <a:lstStyle/>
        <a:p>
          <a:endParaRPr lang="en-GB"/>
        </a:p>
      </dgm:t>
    </dgm:pt>
    <dgm:pt modelId="{40272E72-68D2-40E8-BAE1-11B5324A19AA}" type="pres">
      <dgm:prSet presAssocID="{E4048036-2508-4A59-BE14-BF0BA4E75D90}" presName="connTx" presStyleLbl="parChTrans1D2" presStyleIdx="4" presStyleCnt="8"/>
      <dgm:spPr/>
      <dgm:t>
        <a:bodyPr/>
        <a:lstStyle/>
        <a:p>
          <a:endParaRPr lang="en-GB"/>
        </a:p>
      </dgm:t>
    </dgm:pt>
    <dgm:pt modelId="{ED1A9FB7-F545-4112-B346-67B16057647B}" type="pres">
      <dgm:prSet presAssocID="{F9283114-131E-4D73-A69C-584CC38E5FFB}" presName="node" presStyleLbl="node1" presStyleIdx="4" presStyleCnt="8">
        <dgm:presLayoutVars>
          <dgm:bulletEnabled val="1"/>
        </dgm:presLayoutVars>
      </dgm:prSet>
      <dgm:spPr/>
      <dgm:t>
        <a:bodyPr/>
        <a:lstStyle/>
        <a:p>
          <a:endParaRPr lang="en-GB"/>
        </a:p>
      </dgm:t>
    </dgm:pt>
    <dgm:pt modelId="{ECE0F28F-316A-43AB-BB77-5A844520B9F8}" type="pres">
      <dgm:prSet presAssocID="{859A3692-76D8-43BD-AE48-C1FA0A8A500E}" presName="Name9" presStyleLbl="parChTrans1D2" presStyleIdx="5" presStyleCnt="8"/>
      <dgm:spPr/>
      <dgm:t>
        <a:bodyPr/>
        <a:lstStyle/>
        <a:p>
          <a:endParaRPr lang="en-GB"/>
        </a:p>
      </dgm:t>
    </dgm:pt>
    <dgm:pt modelId="{AD6DA110-1AAD-49C4-95FE-A17F95E3F28D}" type="pres">
      <dgm:prSet presAssocID="{859A3692-76D8-43BD-AE48-C1FA0A8A500E}" presName="connTx" presStyleLbl="parChTrans1D2" presStyleIdx="5" presStyleCnt="8"/>
      <dgm:spPr/>
      <dgm:t>
        <a:bodyPr/>
        <a:lstStyle/>
        <a:p>
          <a:endParaRPr lang="en-GB"/>
        </a:p>
      </dgm:t>
    </dgm:pt>
    <dgm:pt modelId="{B7D4B245-1CCE-445B-AB3F-D746C81E8C2F}" type="pres">
      <dgm:prSet presAssocID="{DE827246-5749-4675-B8DC-D2888D0B0FD4}" presName="node" presStyleLbl="node1" presStyleIdx="5" presStyleCnt="8">
        <dgm:presLayoutVars>
          <dgm:bulletEnabled val="1"/>
        </dgm:presLayoutVars>
      </dgm:prSet>
      <dgm:spPr/>
      <dgm:t>
        <a:bodyPr/>
        <a:lstStyle/>
        <a:p>
          <a:endParaRPr lang="en-GB"/>
        </a:p>
      </dgm:t>
    </dgm:pt>
    <dgm:pt modelId="{C4227DAD-5D81-4B68-A2E5-43580088AED1}" type="pres">
      <dgm:prSet presAssocID="{6C33C312-8B99-4843-B17F-639549BB492C}" presName="Name9" presStyleLbl="parChTrans1D2" presStyleIdx="6" presStyleCnt="8"/>
      <dgm:spPr/>
      <dgm:t>
        <a:bodyPr/>
        <a:lstStyle/>
        <a:p>
          <a:endParaRPr lang="en-GB"/>
        </a:p>
      </dgm:t>
    </dgm:pt>
    <dgm:pt modelId="{B2639173-EA43-4596-A91D-CC2BACA4C0BF}" type="pres">
      <dgm:prSet presAssocID="{6C33C312-8B99-4843-B17F-639549BB492C}" presName="connTx" presStyleLbl="parChTrans1D2" presStyleIdx="6" presStyleCnt="8"/>
      <dgm:spPr/>
      <dgm:t>
        <a:bodyPr/>
        <a:lstStyle/>
        <a:p>
          <a:endParaRPr lang="en-GB"/>
        </a:p>
      </dgm:t>
    </dgm:pt>
    <dgm:pt modelId="{3E27FEC7-F243-45F6-9D70-1A2CE8AC9C39}" type="pres">
      <dgm:prSet presAssocID="{ED32C1F9-1D3A-4170-B5EA-E14619DAAACC}" presName="node" presStyleLbl="node1" presStyleIdx="6" presStyleCnt="8">
        <dgm:presLayoutVars>
          <dgm:bulletEnabled val="1"/>
        </dgm:presLayoutVars>
      </dgm:prSet>
      <dgm:spPr/>
      <dgm:t>
        <a:bodyPr/>
        <a:lstStyle/>
        <a:p>
          <a:endParaRPr lang="en-GB"/>
        </a:p>
      </dgm:t>
    </dgm:pt>
    <dgm:pt modelId="{50DC1387-E4A0-46CF-9B32-0FEEBFD86F5D}" type="pres">
      <dgm:prSet presAssocID="{B4B1CDB5-2A36-4AC0-AB06-246DE735E4AF}" presName="Name9" presStyleLbl="parChTrans1D2" presStyleIdx="7" presStyleCnt="8"/>
      <dgm:spPr/>
      <dgm:t>
        <a:bodyPr/>
        <a:lstStyle/>
        <a:p>
          <a:endParaRPr lang="en-GB"/>
        </a:p>
      </dgm:t>
    </dgm:pt>
    <dgm:pt modelId="{98441E78-9E57-455E-A410-E4662149BEA5}" type="pres">
      <dgm:prSet presAssocID="{B4B1CDB5-2A36-4AC0-AB06-246DE735E4AF}" presName="connTx" presStyleLbl="parChTrans1D2" presStyleIdx="7" presStyleCnt="8"/>
      <dgm:spPr/>
      <dgm:t>
        <a:bodyPr/>
        <a:lstStyle/>
        <a:p>
          <a:endParaRPr lang="en-GB"/>
        </a:p>
      </dgm:t>
    </dgm:pt>
    <dgm:pt modelId="{561CAFB1-AF79-454C-B997-DF8243D382DE}" type="pres">
      <dgm:prSet presAssocID="{DD54E045-59B3-4A0A-82E4-C1568CFB6846}" presName="node" presStyleLbl="node1" presStyleIdx="7" presStyleCnt="8">
        <dgm:presLayoutVars>
          <dgm:bulletEnabled val="1"/>
        </dgm:presLayoutVars>
      </dgm:prSet>
      <dgm:spPr/>
      <dgm:t>
        <a:bodyPr/>
        <a:lstStyle/>
        <a:p>
          <a:endParaRPr lang="en-GB"/>
        </a:p>
      </dgm:t>
    </dgm:pt>
  </dgm:ptLst>
  <dgm:cxnLst>
    <dgm:cxn modelId="{194BC323-4779-4D16-A608-124B49DEF5F3}" type="presOf" srcId="{DE827246-5749-4675-B8DC-D2888D0B0FD4}" destId="{B7D4B245-1CCE-445B-AB3F-D746C81E8C2F}" srcOrd="0" destOrd="0" presId="urn:microsoft.com/office/officeart/2005/8/layout/radial1"/>
    <dgm:cxn modelId="{4B55BAC1-7B2E-499A-998F-4FB73220AAEF}" srcId="{F61BA2A4-2805-43DF-9976-2A303E06D935}" destId="{ED32C1F9-1D3A-4170-B5EA-E14619DAAACC}" srcOrd="6" destOrd="0" parTransId="{6C33C312-8B99-4843-B17F-639549BB492C}" sibTransId="{5CF0AA28-2533-4BAD-9732-9CE31AAC3E72}"/>
    <dgm:cxn modelId="{B5F0F6F9-1F2C-445B-A561-C4AC4D5E7FCE}" type="presOf" srcId="{B4B1CDB5-2A36-4AC0-AB06-246DE735E4AF}" destId="{98441E78-9E57-455E-A410-E4662149BEA5}" srcOrd="1" destOrd="0" presId="urn:microsoft.com/office/officeart/2005/8/layout/radial1"/>
    <dgm:cxn modelId="{0722F1DE-86BA-4654-AB5F-2E020D152644}" srcId="{F61BA2A4-2805-43DF-9976-2A303E06D935}" destId="{5F5C7C26-D063-430F-A72E-C759E9FE749E}" srcOrd="1" destOrd="0" parTransId="{C0604C99-9814-4437-9B0D-F0D812E0AB24}" sibTransId="{0ABE9A80-BD3D-4E4D-A99E-87269C6B1AD4}"/>
    <dgm:cxn modelId="{C3908505-74D9-46FC-9E83-AF7DD14D82C7}" type="presOf" srcId="{859A3692-76D8-43BD-AE48-C1FA0A8A500E}" destId="{AD6DA110-1AAD-49C4-95FE-A17F95E3F28D}" srcOrd="1" destOrd="0" presId="urn:microsoft.com/office/officeart/2005/8/layout/radial1"/>
    <dgm:cxn modelId="{D2B50CC7-BB47-4991-A78E-862322694C50}" srcId="{F61BA2A4-2805-43DF-9976-2A303E06D935}" destId="{F9283114-131E-4D73-A69C-584CC38E5FFB}" srcOrd="4" destOrd="0" parTransId="{E4048036-2508-4A59-BE14-BF0BA4E75D90}" sibTransId="{5B706BC0-711C-43CE-904F-06B6E97EE861}"/>
    <dgm:cxn modelId="{3B688D10-BB38-4C90-8838-98AA82C19609}" type="presOf" srcId="{C0604C99-9814-4437-9B0D-F0D812E0AB24}" destId="{C8F5855A-266C-41A7-8564-E2F0EE34DBDB}" srcOrd="1" destOrd="0" presId="urn:microsoft.com/office/officeart/2005/8/layout/radial1"/>
    <dgm:cxn modelId="{5A5E2623-B900-42E5-934F-B2C4D3DFAD88}" type="presOf" srcId="{C1A803F7-DAF2-4014-8577-8C2D3DEAAD90}" destId="{6792387A-BFFC-40B9-85A8-E0CA38F2BE37}" srcOrd="0" destOrd="0" presId="urn:microsoft.com/office/officeart/2005/8/layout/radial1"/>
    <dgm:cxn modelId="{C13EBD4B-FEBA-4E4A-9C08-78824EC878CB}" type="presOf" srcId="{E4048036-2508-4A59-BE14-BF0BA4E75D90}" destId="{E6DF2A0F-7B0F-4708-ABF4-E2EF18519DA1}" srcOrd="0" destOrd="0" presId="urn:microsoft.com/office/officeart/2005/8/layout/radial1"/>
    <dgm:cxn modelId="{3929F33E-AC01-4DA4-9F5C-548878A14757}" type="presOf" srcId="{82B36AC6-20B8-46E8-805D-89917126E8A1}" destId="{0FB9F566-A1BF-40F2-96FC-5D08246D996F}" srcOrd="1" destOrd="0" presId="urn:microsoft.com/office/officeart/2005/8/layout/radial1"/>
    <dgm:cxn modelId="{D733C790-189E-4934-89E0-FD80E7BF0381}" srcId="{787FCA89-645D-4A1D-993F-55E2FB599380}" destId="{F61BA2A4-2805-43DF-9976-2A303E06D935}" srcOrd="0" destOrd="0" parTransId="{E9FB6E47-BC5B-45A7-BD3F-5026D2D50B12}" sibTransId="{C7F41571-18EA-4446-8100-C1231501E42B}"/>
    <dgm:cxn modelId="{9D81C869-EA89-4B93-BDBB-0F1756993B8F}" type="presOf" srcId="{ED32C1F9-1D3A-4170-B5EA-E14619DAAACC}" destId="{3E27FEC7-F243-45F6-9D70-1A2CE8AC9C39}" srcOrd="0" destOrd="0" presId="urn:microsoft.com/office/officeart/2005/8/layout/radial1"/>
    <dgm:cxn modelId="{4377DC47-E537-474E-9BCA-8E956B13CE83}" type="presOf" srcId="{859A3692-76D8-43BD-AE48-C1FA0A8A500E}" destId="{ECE0F28F-316A-43AB-BB77-5A844520B9F8}" srcOrd="0" destOrd="0" presId="urn:microsoft.com/office/officeart/2005/8/layout/radial1"/>
    <dgm:cxn modelId="{24E7A328-880A-4E0C-83C4-0D77A46C8A8F}" srcId="{F61BA2A4-2805-43DF-9976-2A303E06D935}" destId="{DD54E045-59B3-4A0A-82E4-C1568CFB6846}" srcOrd="7" destOrd="0" parTransId="{B4B1CDB5-2A36-4AC0-AB06-246DE735E4AF}" sibTransId="{3BF9FFA1-8A61-4791-9CF1-9B3DB4DAFB08}"/>
    <dgm:cxn modelId="{35B29E28-8F5F-44C7-A183-79B912A2DEFC}" type="presOf" srcId="{6C33C312-8B99-4843-B17F-639549BB492C}" destId="{B2639173-EA43-4596-A91D-CC2BACA4C0BF}" srcOrd="1" destOrd="0" presId="urn:microsoft.com/office/officeart/2005/8/layout/radial1"/>
    <dgm:cxn modelId="{64CDE019-6F1B-4FDC-B74B-61AF3AA0BF1F}" type="presOf" srcId="{C0604C99-9814-4437-9B0D-F0D812E0AB24}" destId="{BD493458-4E28-4EDA-BD69-9E2B2C272E77}" srcOrd="0" destOrd="0" presId="urn:microsoft.com/office/officeart/2005/8/layout/radial1"/>
    <dgm:cxn modelId="{07AEB07A-5645-49F3-A508-16DF80292C84}" srcId="{F61BA2A4-2805-43DF-9976-2A303E06D935}" destId="{C1A803F7-DAF2-4014-8577-8C2D3DEAAD90}" srcOrd="0" destOrd="0" parTransId="{B21B7B2C-30C4-4792-9FCE-F73296F1EFDA}" sibTransId="{7A267AF2-F931-4C2F-876A-192C17A17E30}"/>
    <dgm:cxn modelId="{D557D41D-7B45-459A-B26F-4FC0EB961D16}" srcId="{F61BA2A4-2805-43DF-9976-2A303E06D935}" destId="{A439801A-E84E-4035-A3D9-D13309642FAE}" srcOrd="2" destOrd="0" parTransId="{B35C1B72-3EAE-4ED1-AD41-42AFBF48C533}" sibTransId="{98C7AEAC-06DA-4938-B3D4-BE03973421E3}"/>
    <dgm:cxn modelId="{D0248B74-F26F-4A46-ADD9-07A1311094EB}" type="presOf" srcId="{E4048036-2508-4A59-BE14-BF0BA4E75D90}" destId="{40272E72-68D2-40E8-BAE1-11B5324A19AA}" srcOrd="1" destOrd="0" presId="urn:microsoft.com/office/officeart/2005/8/layout/radial1"/>
    <dgm:cxn modelId="{79FE14B1-8B55-49DE-ACD6-785BCFD239F0}" srcId="{F61BA2A4-2805-43DF-9976-2A303E06D935}" destId="{305B6E80-2AF5-4635-A7A7-21B3738C4527}" srcOrd="3" destOrd="0" parTransId="{82B36AC6-20B8-46E8-805D-89917126E8A1}" sibTransId="{CF44D9EB-B0CF-403C-BC66-02D9191B7B5D}"/>
    <dgm:cxn modelId="{4F758B8E-7817-47B3-899D-5D92013C39B9}" type="presOf" srcId="{5F5C7C26-D063-430F-A72E-C759E9FE749E}" destId="{13CE4BBD-BC20-4B7A-B09F-78E29B57572A}" srcOrd="0" destOrd="0" presId="urn:microsoft.com/office/officeart/2005/8/layout/radial1"/>
    <dgm:cxn modelId="{21FCC01F-E827-4901-AB5F-A47C573417D4}" type="presOf" srcId="{6C33C312-8B99-4843-B17F-639549BB492C}" destId="{C4227DAD-5D81-4B68-A2E5-43580088AED1}" srcOrd="0" destOrd="0" presId="urn:microsoft.com/office/officeart/2005/8/layout/radial1"/>
    <dgm:cxn modelId="{E72BDD47-844E-4FE7-9917-9F9F88B885BD}" type="presOf" srcId="{B21B7B2C-30C4-4792-9FCE-F73296F1EFDA}" destId="{7237A6F2-39A3-43BC-804B-F45F2C5CE45D}" srcOrd="1" destOrd="0" presId="urn:microsoft.com/office/officeart/2005/8/layout/radial1"/>
    <dgm:cxn modelId="{A95664D0-8248-47F9-A529-3280A1AA7712}" type="presOf" srcId="{B4B1CDB5-2A36-4AC0-AB06-246DE735E4AF}" destId="{50DC1387-E4A0-46CF-9B32-0FEEBFD86F5D}" srcOrd="0" destOrd="0" presId="urn:microsoft.com/office/officeart/2005/8/layout/radial1"/>
    <dgm:cxn modelId="{0480E74A-C780-41E1-9BD6-3D9572A8CCA9}" type="presOf" srcId="{82B36AC6-20B8-46E8-805D-89917126E8A1}" destId="{6B0E4464-091D-4E83-ADDA-288725C1E7B3}" srcOrd="0" destOrd="0" presId="urn:microsoft.com/office/officeart/2005/8/layout/radial1"/>
    <dgm:cxn modelId="{C92A06DB-F2BD-47C7-B3D9-C572F1B9C48B}" type="presOf" srcId="{F61BA2A4-2805-43DF-9976-2A303E06D935}" destId="{5F972189-EE93-4A5F-A582-B66E69AEF8FD}" srcOrd="0" destOrd="0" presId="urn:microsoft.com/office/officeart/2005/8/layout/radial1"/>
    <dgm:cxn modelId="{1BFFD8DA-AEF8-4F35-A92E-A8E03381108B}" srcId="{F61BA2A4-2805-43DF-9976-2A303E06D935}" destId="{DE827246-5749-4675-B8DC-D2888D0B0FD4}" srcOrd="5" destOrd="0" parTransId="{859A3692-76D8-43BD-AE48-C1FA0A8A500E}" sibTransId="{38FAF1AE-A6D0-4970-8787-6505168D09E7}"/>
    <dgm:cxn modelId="{8963D6A5-FE44-4309-9A90-C0937017DB45}" type="presOf" srcId="{F9283114-131E-4D73-A69C-584CC38E5FFB}" destId="{ED1A9FB7-F545-4112-B346-67B16057647B}" srcOrd="0" destOrd="0" presId="urn:microsoft.com/office/officeart/2005/8/layout/radial1"/>
    <dgm:cxn modelId="{2A764ECB-5FD4-478B-A27D-E40B8475D745}" type="presOf" srcId="{787FCA89-645D-4A1D-993F-55E2FB599380}" destId="{7BF19729-430E-46A1-9712-CD7898645ABE}" srcOrd="0" destOrd="0" presId="urn:microsoft.com/office/officeart/2005/8/layout/radial1"/>
    <dgm:cxn modelId="{F50F31BD-0A46-4CE8-84F8-FB92871B2918}" type="presOf" srcId="{B35C1B72-3EAE-4ED1-AD41-42AFBF48C533}" destId="{1D4FA02E-4136-4B53-9F70-87C493A88326}" srcOrd="0" destOrd="0" presId="urn:microsoft.com/office/officeart/2005/8/layout/radial1"/>
    <dgm:cxn modelId="{9F4E0665-3CD5-4309-80E6-3E08A3730C82}" type="presOf" srcId="{A439801A-E84E-4035-A3D9-D13309642FAE}" destId="{6E38E529-6D3E-4667-9240-F3878D7E124E}" srcOrd="0" destOrd="0" presId="urn:microsoft.com/office/officeart/2005/8/layout/radial1"/>
    <dgm:cxn modelId="{C04D4E20-83FC-41AC-ABA1-81C49A4F7823}" type="presOf" srcId="{B35C1B72-3EAE-4ED1-AD41-42AFBF48C533}" destId="{42BFDDF0-ED9C-4117-858B-A6B1905AD189}" srcOrd="1" destOrd="0" presId="urn:microsoft.com/office/officeart/2005/8/layout/radial1"/>
    <dgm:cxn modelId="{D990B2D4-696B-4892-9622-D2B6DA72A5CB}" type="presOf" srcId="{B21B7B2C-30C4-4792-9FCE-F73296F1EFDA}" destId="{B9859827-6F3C-436C-92EC-E1815B99863F}" srcOrd="0" destOrd="0" presId="urn:microsoft.com/office/officeart/2005/8/layout/radial1"/>
    <dgm:cxn modelId="{C9989DAF-B8CB-4DA6-B8A0-5BC9559EAFDC}" type="presOf" srcId="{DD54E045-59B3-4A0A-82E4-C1568CFB6846}" destId="{561CAFB1-AF79-454C-B997-DF8243D382DE}" srcOrd="0" destOrd="0" presId="urn:microsoft.com/office/officeart/2005/8/layout/radial1"/>
    <dgm:cxn modelId="{99461646-25FE-4A19-8E28-7C38CE2C8463}" type="presOf" srcId="{305B6E80-2AF5-4635-A7A7-21B3738C4527}" destId="{747E776D-40E3-4166-9C13-C75BF9593461}" srcOrd="0" destOrd="0" presId="urn:microsoft.com/office/officeart/2005/8/layout/radial1"/>
    <dgm:cxn modelId="{85083F00-B99F-4155-89DE-91BE4635CBFC}" type="presParOf" srcId="{7BF19729-430E-46A1-9712-CD7898645ABE}" destId="{5F972189-EE93-4A5F-A582-B66E69AEF8FD}" srcOrd="0" destOrd="0" presId="urn:microsoft.com/office/officeart/2005/8/layout/radial1"/>
    <dgm:cxn modelId="{FDC50195-852C-4241-B6CB-B9A1D2C6A180}" type="presParOf" srcId="{7BF19729-430E-46A1-9712-CD7898645ABE}" destId="{B9859827-6F3C-436C-92EC-E1815B99863F}" srcOrd="1" destOrd="0" presId="urn:microsoft.com/office/officeart/2005/8/layout/radial1"/>
    <dgm:cxn modelId="{54214639-CF23-4158-9684-F639B61E55AC}" type="presParOf" srcId="{B9859827-6F3C-436C-92EC-E1815B99863F}" destId="{7237A6F2-39A3-43BC-804B-F45F2C5CE45D}" srcOrd="0" destOrd="0" presId="urn:microsoft.com/office/officeart/2005/8/layout/radial1"/>
    <dgm:cxn modelId="{2084FC93-9BD6-49F9-B713-0B59D64140FE}" type="presParOf" srcId="{7BF19729-430E-46A1-9712-CD7898645ABE}" destId="{6792387A-BFFC-40B9-85A8-E0CA38F2BE37}" srcOrd="2" destOrd="0" presId="urn:microsoft.com/office/officeart/2005/8/layout/radial1"/>
    <dgm:cxn modelId="{C3487B1A-231F-4A19-BD23-144B40555BE9}" type="presParOf" srcId="{7BF19729-430E-46A1-9712-CD7898645ABE}" destId="{BD493458-4E28-4EDA-BD69-9E2B2C272E77}" srcOrd="3" destOrd="0" presId="urn:microsoft.com/office/officeart/2005/8/layout/radial1"/>
    <dgm:cxn modelId="{CFAAE3BF-BA16-4BA7-A97A-41177029E50E}" type="presParOf" srcId="{BD493458-4E28-4EDA-BD69-9E2B2C272E77}" destId="{C8F5855A-266C-41A7-8564-E2F0EE34DBDB}" srcOrd="0" destOrd="0" presId="urn:microsoft.com/office/officeart/2005/8/layout/radial1"/>
    <dgm:cxn modelId="{53C04015-3694-4430-A5EF-CC0DA97FDE21}" type="presParOf" srcId="{7BF19729-430E-46A1-9712-CD7898645ABE}" destId="{13CE4BBD-BC20-4B7A-B09F-78E29B57572A}" srcOrd="4" destOrd="0" presId="urn:microsoft.com/office/officeart/2005/8/layout/radial1"/>
    <dgm:cxn modelId="{5AEF45A7-383B-4357-A4A3-17B8BC82E6DB}" type="presParOf" srcId="{7BF19729-430E-46A1-9712-CD7898645ABE}" destId="{1D4FA02E-4136-4B53-9F70-87C493A88326}" srcOrd="5" destOrd="0" presId="urn:microsoft.com/office/officeart/2005/8/layout/radial1"/>
    <dgm:cxn modelId="{A9DCFF79-FCE5-413F-AD35-98028CA8A903}" type="presParOf" srcId="{1D4FA02E-4136-4B53-9F70-87C493A88326}" destId="{42BFDDF0-ED9C-4117-858B-A6B1905AD189}" srcOrd="0" destOrd="0" presId="urn:microsoft.com/office/officeart/2005/8/layout/radial1"/>
    <dgm:cxn modelId="{91333269-EB14-4568-8357-41ADE6DDC5D9}" type="presParOf" srcId="{7BF19729-430E-46A1-9712-CD7898645ABE}" destId="{6E38E529-6D3E-4667-9240-F3878D7E124E}" srcOrd="6" destOrd="0" presId="urn:microsoft.com/office/officeart/2005/8/layout/radial1"/>
    <dgm:cxn modelId="{C51A47EA-A352-45E7-8396-4A9F0F6DEA59}" type="presParOf" srcId="{7BF19729-430E-46A1-9712-CD7898645ABE}" destId="{6B0E4464-091D-4E83-ADDA-288725C1E7B3}" srcOrd="7" destOrd="0" presId="urn:microsoft.com/office/officeart/2005/8/layout/radial1"/>
    <dgm:cxn modelId="{9C27F146-3D2B-43AF-889B-F92656EE6E07}" type="presParOf" srcId="{6B0E4464-091D-4E83-ADDA-288725C1E7B3}" destId="{0FB9F566-A1BF-40F2-96FC-5D08246D996F}" srcOrd="0" destOrd="0" presId="urn:microsoft.com/office/officeart/2005/8/layout/radial1"/>
    <dgm:cxn modelId="{B02CB15D-7748-470A-90E0-8880A88EC2A7}" type="presParOf" srcId="{7BF19729-430E-46A1-9712-CD7898645ABE}" destId="{747E776D-40E3-4166-9C13-C75BF9593461}" srcOrd="8" destOrd="0" presId="urn:microsoft.com/office/officeart/2005/8/layout/radial1"/>
    <dgm:cxn modelId="{93513F6F-883C-42F5-9DEF-09B5A579ADB2}" type="presParOf" srcId="{7BF19729-430E-46A1-9712-CD7898645ABE}" destId="{E6DF2A0F-7B0F-4708-ABF4-E2EF18519DA1}" srcOrd="9" destOrd="0" presId="urn:microsoft.com/office/officeart/2005/8/layout/radial1"/>
    <dgm:cxn modelId="{8C080B50-7C07-4EA2-802E-DDC31EAAE824}" type="presParOf" srcId="{E6DF2A0F-7B0F-4708-ABF4-E2EF18519DA1}" destId="{40272E72-68D2-40E8-BAE1-11B5324A19AA}" srcOrd="0" destOrd="0" presId="urn:microsoft.com/office/officeart/2005/8/layout/radial1"/>
    <dgm:cxn modelId="{D4DD9276-714A-43E2-B60B-10CF1030CD54}" type="presParOf" srcId="{7BF19729-430E-46A1-9712-CD7898645ABE}" destId="{ED1A9FB7-F545-4112-B346-67B16057647B}" srcOrd="10" destOrd="0" presId="urn:microsoft.com/office/officeart/2005/8/layout/radial1"/>
    <dgm:cxn modelId="{E5162FC9-E38B-4E06-A2E5-A18B73399D60}" type="presParOf" srcId="{7BF19729-430E-46A1-9712-CD7898645ABE}" destId="{ECE0F28F-316A-43AB-BB77-5A844520B9F8}" srcOrd="11" destOrd="0" presId="urn:microsoft.com/office/officeart/2005/8/layout/radial1"/>
    <dgm:cxn modelId="{AC68E20F-6ACC-45E5-BAD1-05009609C6F9}" type="presParOf" srcId="{ECE0F28F-316A-43AB-BB77-5A844520B9F8}" destId="{AD6DA110-1AAD-49C4-95FE-A17F95E3F28D}" srcOrd="0" destOrd="0" presId="urn:microsoft.com/office/officeart/2005/8/layout/radial1"/>
    <dgm:cxn modelId="{B7D4E847-18CB-4938-9AFC-8114AF888B5D}" type="presParOf" srcId="{7BF19729-430E-46A1-9712-CD7898645ABE}" destId="{B7D4B245-1CCE-445B-AB3F-D746C81E8C2F}" srcOrd="12" destOrd="0" presId="urn:microsoft.com/office/officeart/2005/8/layout/radial1"/>
    <dgm:cxn modelId="{08F34EAD-1818-40B3-B313-BC1E39750650}" type="presParOf" srcId="{7BF19729-430E-46A1-9712-CD7898645ABE}" destId="{C4227DAD-5D81-4B68-A2E5-43580088AED1}" srcOrd="13" destOrd="0" presId="urn:microsoft.com/office/officeart/2005/8/layout/radial1"/>
    <dgm:cxn modelId="{2C5EFA48-A8A1-4C12-8706-A82E1F85F01D}" type="presParOf" srcId="{C4227DAD-5D81-4B68-A2E5-43580088AED1}" destId="{B2639173-EA43-4596-A91D-CC2BACA4C0BF}" srcOrd="0" destOrd="0" presId="urn:microsoft.com/office/officeart/2005/8/layout/radial1"/>
    <dgm:cxn modelId="{A1EB7054-B772-42BE-89FA-C5CFF17B883E}" type="presParOf" srcId="{7BF19729-430E-46A1-9712-CD7898645ABE}" destId="{3E27FEC7-F243-45F6-9D70-1A2CE8AC9C39}" srcOrd="14" destOrd="0" presId="urn:microsoft.com/office/officeart/2005/8/layout/radial1"/>
    <dgm:cxn modelId="{6917E815-FA79-463A-A629-18924EB3C31C}" type="presParOf" srcId="{7BF19729-430E-46A1-9712-CD7898645ABE}" destId="{50DC1387-E4A0-46CF-9B32-0FEEBFD86F5D}" srcOrd="15" destOrd="0" presId="urn:microsoft.com/office/officeart/2005/8/layout/radial1"/>
    <dgm:cxn modelId="{8A6CCE0C-98F3-4981-89B1-1764155FBDD2}" type="presParOf" srcId="{50DC1387-E4A0-46CF-9B32-0FEEBFD86F5D}" destId="{98441E78-9E57-455E-A410-E4662149BEA5}" srcOrd="0" destOrd="0" presId="urn:microsoft.com/office/officeart/2005/8/layout/radial1"/>
    <dgm:cxn modelId="{9C9C763A-9BBB-40CF-A28F-5821713ED200}" type="presParOf" srcId="{7BF19729-430E-46A1-9712-CD7898645ABE}" destId="{561CAFB1-AF79-454C-B997-DF8243D382DE}" srcOrd="16" destOrd="0" presId="urn:microsoft.com/office/officeart/2005/8/layout/radial1"/>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CE0C0D3-BE64-4A6E-A9B8-C19624249675}">
      <dsp:nvSpPr>
        <dsp:cNvPr id="0" name=""/>
        <dsp:cNvSpPr/>
      </dsp:nvSpPr>
      <dsp:spPr>
        <a:xfrm>
          <a:off x="1944386" y="1804214"/>
          <a:ext cx="1385536" cy="1385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R="0" lvl="0" algn="ctr" defTabSz="666750" rtl="0">
            <a:lnSpc>
              <a:spcPct val="90000"/>
            </a:lnSpc>
            <a:spcBef>
              <a:spcPct val="0"/>
            </a:spcBef>
            <a:spcAft>
              <a:spcPct val="35000"/>
            </a:spcAft>
          </a:pPr>
          <a:r>
            <a:rPr lang="en-GB" sz="1500" kern="1200" baseline="0" smtClean="0">
              <a:latin typeface="Calibri"/>
            </a:rPr>
            <a:t>Medical Equipment </a:t>
          </a:r>
          <a:r>
            <a:rPr lang="en-GB" sz="1500" b="1" kern="1200" baseline="0" smtClean="0">
              <a:latin typeface="Calibri"/>
            </a:rPr>
            <a:t>asset based issues</a:t>
          </a:r>
          <a:endParaRPr lang="en-GB" sz="1500" kern="1200" smtClean="0"/>
        </a:p>
      </dsp:txBody>
      <dsp:txXfrm>
        <a:off x="1944386" y="1804214"/>
        <a:ext cx="1385536" cy="1385536"/>
      </dsp:txXfrm>
    </dsp:sp>
    <dsp:sp modelId="{FBF8C4B0-FF41-440E-8E30-FD600B50D9AC}">
      <dsp:nvSpPr>
        <dsp:cNvPr id="0" name=""/>
        <dsp:cNvSpPr/>
      </dsp:nvSpPr>
      <dsp:spPr>
        <a:xfrm rot="16200000">
          <a:off x="2428928" y="1572345"/>
          <a:ext cx="416453" cy="47285"/>
        </a:xfrm>
        <a:custGeom>
          <a:avLst/>
          <a:gdLst/>
          <a:ahLst/>
          <a:cxnLst/>
          <a:rect l="0" t="0" r="0" b="0"/>
          <a:pathLst>
            <a:path>
              <a:moveTo>
                <a:pt x="0" y="23642"/>
              </a:moveTo>
              <a:lnTo>
                <a:pt x="416453" y="236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6200000">
        <a:off x="2626743" y="1585576"/>
        <a:ext cx="20822" cy="20822"/>
      </dsp:txXfrm>
    </dsp:sp>
    <dsp:sp modelId="{6794D6EB-E938-4B73-8E98-6E23A52B36E7}">
      <dsp:nvSpPr>
        <dsp:cNvPr id="0" name=""/>
        <dsp:cNvSpPr/>
      </dsp:nvSpPr>
      <dsp:spPr>
        <a:xfrm>
          <a:off x="1944386" y="2224"/>
          <a:ext cx="1385536" cy="1385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GB" sz="1100" kern="1200" baseline="0" smtClean="0">
              <a:latin typeface="Calibri"/>
            </a:rPr>
            <a:t>Clinical demand for a second CT scanner</a:t>
          </a:r>
          <a:endParaRPr lang="en-GB" sz="1100" kern="1200" smtClean="0"/>
        </a:p>
      </dsp:txBody>
      <dsp:txXfrm>
        <a:off x="1944386" y="2224"/>
        <a:ext cx="1385536" cy="1385536"/>
      </dsp:txXfrm>
    </dsp:sp>
    <dsp:sp modelId="{757B1336-7826-4306-B505-71ED61CE68A9}">
      <dsp:nvSpPr>
        <dsp:cNvPr id="0" name=""/>
        <dsp:cNvSpPr/>
      </dsp:nvSpPr>
      <dsp:spPr>
        <a:xfrm rot="20520000">
          <a:off x="3285825" y="2194917"/>
          <a:ext cx="416453" cy="47285"/>
        </a:xfrm>
        <a:custGeom>
          <a:avLst/>
          <a:gdLst/>
          <a:ahLst/>
          <a:cxnLst/>
          <a:rect l="0" t="0" r="0" b="0"/>
          <a:pathLst>
            <a:path>
              <a:moveTo>
                <a:pt x="0" y="23642"/>
              </a:moveTo>
              <a:lnTo>
                <a:pt x="416453" y="236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20520000">
        <a:off x="3483640" y="2208149"/>
        <a:ext cx="20822" cy="20822"/>
      </dsp:txXfrm>
    </dsp:sp>
    <dsp:sp modelId="{F92CFDB2-2D5C-4F96-9307-64357BF71FAB}">
      <dsp:nvSpPr>
        <dsp:cNvPr id="0" name=""/>
        <dsp:cNvSpPr/>
      </dsp:nvSpPr>
      <dsp:spPr>
        <a:xfrm>
          <a:off x="3658181" y="1247369"/>
          <a:ext cx="1385536" cy="1385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GB" sz="1100" kern="1200" baseline="0" smtClean="0">
              <a:latin typeface="Calibri"/>
            </a:rPr>
            <a:t>Consideration of a Hybrid facility and/or additional cath labs</a:t>
          </a:r>
          <a:endParaRPr lang="en-GB" sz="1100" kern="1200" smtClean="0"/>
        </a:p>
      </dsp:txBody>
      <dsp:txXfrm>
        <a:off x="3658181" y="1247369"/>
        <a:ext cx="1385536" cy="1385536"/>
      </dsp:txXfrm>
    </dsp:sp>
    <dsp:sp modelId="{7CAEBE66-9214-4EE7-B116-9030D2C5E49A}">
      <dsp:nvSpPr>
        <dsp:cNvPr id="0" name=""/>
        <dsp:cNvSpPr/>
      </dsp:nvSpPr>
      <dsp:spPr>
        <a:xfrm rot="3240000">
          <a:off x="2958519" y="3202260"/>
          <a:ext cx="416453" cy="47285"/>
        </a:xfrm>
        <a:custGeom>
          <a:avLst/>
          <a:gdLst/>
          <a:ahLst/>
          <a:cxnLst/>
          <a:rect l="0" t="0" r="0" b="0"/>
          <a:pathLst>
            <a:path>
              <a:moveTo>
                <a:pt x="0" y="23642"/>
              </a:moveTo>
              <a:lnTo>
                <a:pt x="416453" y="236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3240000">
        <a:off x="3156335" y="3215492"/>
        <a:ext cx="20822" cy="20822"/>
      </dsp:txXfrm>
    </dsp:sp>
    <dsp:sp modelId="{04C9B498-B9DD-41E2-A82E-2280979D8233}">
      <dsp:nvSpPr>
        <dsp:cNvPr id="0" name=""/>
        <dsp:cNvSpPr/>
      </dsp:nvSpPr>
      <dsp:spPr>
        <a:xfrm>
          <a:off x="3003569" y="3262055"/>
          <a:ext cx="1385536" cy="1385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GB" sz="1100" kern="1200" baseline="0" smtClean="0">
              <a:latin typeface="Calibri"/>
            </a:rPr>
            <a:t>Robotic equipment</a:t>
          </a:r>
          <a:endParaRPr lang="en-GB" sz="1100" kern="1200" smtClean="0"/>
        </a:p>
      </dsp:txBody>
      <dsp:txXfrm>
        <a:off x="3003569" y="3262055"/>
        <a:ext cx="1385536" cy="1385536"/>
      </dsp:txXfrm>
    </dsp:sp>
    <dsp:sp modelId="{C9D8704B-8B8C-44D8-B1A3-229BD3D78DAA}">
      <dsp:nvSpPr>
        <dsp:cNvPr id="0" name=""/>
        <dsp:cNvSpPr/>
      </dsp:nvSpPr>
      <dsp:spPr>
        <a:xfrm rot="7560000">
          <a:off x="1899336" y="3202260"/>
          <a:ext cx="416453" cy="47285"/>
        </a:xfrm>
        <a:custGeom>
          <a:avLst/>
          <a:gdLst/>
          <a:ahLst/>
          <a:cxnLst/>
          <a:rect l="0" t="0" r="0" b="0"/>
          <a:pathLst>
            <a:path>
              <a:moveTo>
                <a:pt x="0" y="23642"/>
              </a:moveTo>
              <a:lnTo>
                <a:pt x="416453" y="236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7560000">
        <a:off x="2097152" y="3215492"/>
        <a:ext cx="20822" cy="20822"/>
      </dsp:txXfrm>
    </dsp:sp>
    <dsp:sp modelId="{AD85FE77-CF48-44FE-9BD3-01C0022D9BBF}">
      <dsp:nvSpPr>
        <dsp:cNvPr id="0" name=""/>
        <dsp:cNvSpPr/>
      </dsp:nvSpPr>
      <dsp:spPr>
        <a:xfrm>
          <a:off x="885203" y="3262055"/>
          <a:ext cx="1385536" cy="1385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GB" sz="1100" kern="1200" baseline="0" smtClean="0">
              <a:latin typeface="Calibri"/>
            </a:rPr>
            <a:t>CSPD Washers and Sterilisers</a:t>
          </a:r>
          <a:endParaRPr lang="en-GB" sz="1100" kern="1200" smtClean="0"/>
        </a:p>
      </dsp:txBody>
      <dsp:txXfrm>
        <a:off x="885203" y="3262055"/>
        <a:ext cx="1385536" cy="1385536"/>
      </dsp:txXfrm>
    </dsp:sp>
    <dsp:sp modelId="{1FE2F5C5-9B88-4A6B-BFCA-16B97C134C62}">
      <dsp:nvSpPr>
        <dsp:cNvPr id="0" name=""/>
        <dsp:cNvSpPr/>
      </dsp:nvSpPr>
      <dsp:spPr>
        <a:xfrm rot="11880000">
          <a:off x="1572030" y="2194917"/>
          <a:ext cx="416453" cy="47285"/>
        </a:xfrm>
        <a:custGeom>
          <a:avLst/>
          <a:gdLst/>
          <a:ahLst/>
          <a:cxnLst/>
          <a:rect l="0" t="0" r="0" b="0"/>
          <a:pathLst>
            <a:path>
              <a:moveTo>
                <a:pt x="0" y="23642"/>
              </a:moveTo>
              <a:lnTo>
                <a:pt x="416453" y="2364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1880000">
        <a:off x="1769846" y="2208149"/>
        <a:ext cx="20822" cy="20822"/>
      </dsp:txXfrm>
    </dsp:sp>
    <dsp:sp modelId="{D0A93F5E-9E2A-4699-8431-D7F4D68182B4}">
      <dsp:nvSpPr>
        <dsp:cNvPr id="0" name=""/>
        <dsp:cNvSpPr/>
      </dsp:nvSpPr>
      <dsp:spPr>
        <a:xfrm>
          <a:off x="230592" y="1247369"/>
          <a:ext cx="1385536" cy="1385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GB" sz="1100" kern="1200" baseline="0" smtClean="0">
              <a:latin typeface="Calibri"/>
            </a:rPr>
            <a:t>Radiofrequency identification systems for tracking equipment</a:t>
          </a:r>
          <a:endParaRPr lang="en-GB" sz="1100" kern="1200" smtClean="0"/>
        </a:p>
      </dsp:txBody>
      <dsp:txXfrm>
        <a:off x="230592" y="1247369"/>
        <a:ext cx="1385536" cy="1385536"/>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F972189-EE93-4A5F-A582-B66E69AEF8FD}">
      <dsp:nvSpPr>
        <dsp:cNvPr id="0" name=""/>
        <dsp:cNvSpPr/>
      </dsp:nvSpPr>
      <dsp:spPr>
        <a:xfrm>
          <a:off x="2038386" y="2038386"/>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GB" sz="1300" kern="1200" baseline="0" smtClean="0">
              <a:latin typeface="Calibri"/>
            </a:rPr>
            <a:t>Land and Building </a:t>
          </a:r>
          <a:r>
            <a:rPr lang="en-GB" sz="1300" b="1" kern="1200" baseline="0" smtClean="0">
              <a:latin typeface="Calibri"/>
            </a:rPr>
            <a:t>asset based issued</a:t>
          </a:r>
          <a:endParaRPr lang="en-GB" sz="1300" kern="1200" smtClean="0"/>
        </a:p>
      </dsp:txBody>
      <dsp:txXfrm>
        <a:off x="2038386" y="2038386"/>
        <a:ext cx="1197536" cy="1197536"/>
      </dsp:txXfrm>
    </dsp:sp>
    <dsp:sp modelId="{B9859827-6F3C-436C-92EC-E1815B99863F}">
      <dsp:nvSpPr>
        <dsp:cNvPr id="0" name=""/>
        <dsp:cNvSpPr/>
      </dsp:nvSpPr>
      <dsp:spPr>
        <a:xfrm rot="16200000">
          <a:off x="2218356" y="1599153"/>
          <a:ext cx="837597" cy="40869"/>
        </a:xfrm>
        <a:custGeom>
          <a:avLst/>
          <a:gdLst/>
          <a:ahLst/>
          <a:cxnLst/>
          <a:rect l="0" t="0" r="0" b="0"/>
          <a:pathLst>
            <a:path>
              <a:moveTo>
                <a:pt x="0" y="20434"/>
              </a:moveTo>
              <a:lnTo>
                <a:pt x="837597" y="204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6200000">
        <a:off x="2616215" y="1598648"/>
        <a:ext cx="41879" cy="41879"/>
      </dsp:txXfrm>
    </dsp:sp>
    <dsp:sp modelId="{6792387A-BFFC-40B9-85A8-E0CA38F2BE37}">
      <dsp:nvSpPr>
        <dsp:cNvPr id="0" name=""/>
        <dsp:cNvSpPr/>
      </dsp:nvSpPr>
      <dsp:spPr>
        <a:xfrm>
          <a:off x="2038386" y="3253"/>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GB" sz="1000" kern="1200" baseline="0" smtClean="0">
              <a:latin typeface="Calibri"/>
            </a:rPr>
            <a:t>Space within existing building</a:t>
          </a:r>
          <a:endParaRPr lang="en-GB" sz="1000" kern="1200" smtClean="0"/>
        </a:p>
      </dsp:txBody>
      <dsp:txXfrm>
        <a:off x="2038386" y="3253"/>
        <a:ext cx="1197536" cy="1197536"/>
      </dsp:txXfrm>
    </dsp:sp>
    <dsp:sp modelId="{BD493458-4E28-4EDA-BD69-9E2B2C272E77}">
      <dsp:nvSpPr>
        <dsp:cNvPr id="0" name=""/>
        <dsp:cNvSpPr/>
      </dsp:nvSpPr>
      <dsp:spPr>
        <a:xfrm rot="18900000">
          <a:off x="2937884" y="1897191"/>
          <a:ext cx="837597" cy="40869"/>
        </a:xfrm>
        <a:custGeom>
          <a:avLst/>
          <a:gdLst/>
          <a:ahLst/>
          <a:cxnLst/>
          <a:rect l="0" t="0" r="0" b="0"/>
          <a:pathLst>
            <a:path>
              <a:moveTo>
                <a:pt x="0" y="20434"/>
              </a:moveTo>
              <a:lnTo>
                <a:pt x="837597" y="204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8900000">
        <a:off x="3335743" y="1896686"/>
        <a:ext cx="41879" cy="41879"/>
      </dsp:txXfrm>
    </dsp:sp>
    <dsp:sp modelId="{13CE4BBD-BC20-4B7A-B09F-78E29B57572A}">
      <dsp:nvSpPr>
        <dsp:cNvPr id="0" name=""/>
        <dsp:cNvSpPr/>
      </dsp:nvSpPr>
      <dsp:spPr>
        <a:xfrm>
          <a:off x="3477443" y="599329"/>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GB" sz="1000" kern="1200" baseline="0" smtClean="0">
              <a:latin typeface="Calibri"/>
            </a:rPr>
            <a:t>Maintenance of the fabric of the existing building</a:t>
          </a:r>
          <a:endParaRPr lang="en-GB" sz="1000" kern="1200" smtClean="0"/>
        </a:p>
      </dsp:txBody>
      <dsp:txXfrm>
        <a:off x="3477443" y="599329"/>
        <a:ext cx="1197536" cy="1197536"/>
      </dsp:txXfrm>
    </dsp:sp>
    <dsp:sp modelId="{1D4FA02E-4136-4B53-9F70-87C493A88326}">
      <dsp:nvSpPr>
        <dsp:cNvPr id="0" name=""/>
        <dsp:cNvSpPr/>
      </dsp:nvSpPr>
      <dsp:spPr>
        <a:xfrm>
          <a:off x="3235923" y="2616720"/>
          <a:ext cx="837597" cy="40869"/>
        </a:xfrm>
        <a:custGeom>
          <a:avLst/>
          <a:gdLst/>
          <a:ahLst/>
          <a:cxnLst/>
          <a:rect l="0" t="0" r="0" b="0"/>
          <a:pathLst>
            <a:path>
              <a:moveTo>
                <a:pt x="0" y="20434"/>
              </a:moveTo>
              <a:lnTo>
                <a:pt x="837597" y="204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633781" y="2616215"/>
        <a:ext cx="41879" cy="41879"/>
      </dsp:txXfrm>
    </dsp:sp>
    <dsp:sp modelId="{6E38E529-6D3E-4667-9240-F3878D7E124E}">
      <dsp:nvSpPr>
        <dsp:cNvPr id="0" name=""/>
        <dsp:cNvSpPr/>
      </dsp:nvSpPr>
      <dsp:spPr>
        <a:xfrm>
          <a:off x="4073520" y="2038386"/>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GB" sz="1000" kern="1200" baseline="0" smtClean="0">
              <a:latin typeface="Calibri"/>
            </a:rPr>
            <a:t>Implications of new accounting standards with implications for leasing</a:t>
          </a:r>
          <a:endParaRPr lang="en-GB" sz="1000" kern="1200" smtClean="0"/>
        </a:p>
      </dsp:txBody>
      <dsp:txXfrm>
        <a:off x="4073520" y="2038386"/>
        <a:ext cx="1197536" cy="1197536"/>
      </dsp:txXfrm>
    </dsp:sp>
    <dsp:sp modelId="{6B0E4464-091D-4E83-ADDA-288725C1E7B3}">
      <dsp:nvSpPr>
        <dsp:cNvPr id="0" name=""/>
        <dsp:cNvSpPr/>
      </dsp:nvSpPr>
      <dsp:spPr>
        <a:xfrm rot="2700000">
          <a:off x="2937884" y="3336248"/>
          <a:ext cx="837597" cy="40869"/>
        </a:xfrm>
        <a:custGeom>
          <a:avLst/>
          <a:gdLst/>
          <a:ahLst/>
          <a:cxnLst/>
          <a:rect l="0" t="0" r="0" b="0"/>
          <a:pathLst>
            <a:path>
              <a:moveTo>
                <a:pt x="0" y="20434"/>
              </a:moveTo>
              <a:lnTo>
                <a:pt x="837597" y="204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2700000">
        <a:off x="3335743" y="3335743"/>
        <a:ext cx="41879" cy="41879"/>
      </dsp:txXfrm>
    </dsp:sp>
    <dsp:sp modelId="{747E776D-40E3-4166-9C13-C75BF9593461}">
      <dsp:nvSpPr>
        <dsp:cNvPr id="0" name=""/>
        <dsp:cNvSpPr/>
      </dsp:nvSpPr>
      <dsp:spPr>
        <a:xfrm>
          <a:off x="3477443" y="3477443"/>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GB" sz="1000" kern="1200" baseline="0" smtClean="0">
              <a:latin typeface="Calibri"/>
            </a:rPr>
            <a:t>Continued drive to reduce carbon emissions</a:t>
          </a:r>
          <a:endParaRPr lang="en-GB" sz="1000" kern="1200" smtClean="0"/>
        </a:p>
      </dsp:txBody>
      <dsp:txXfrm>
        <a:off x="3477443" y="3477443"/>
        <a:ext cx="1197536" cy="1197536"/>
      </dsp:txXfrm>
    </dsp:sp>
    <dsp:sp modelId="{E6DF2A0F-7B0F-4708-ABF4-E2EF18519DA1}">
      <dsp:nvSpPr>
        <dsp:cNvPr id="0" name=""/>
        <dsp:cNvSpPr/>
      </dsp:nvSpPr>
      <dsp:spPr>
        <a:xfrm rot="5400000">
          <a:off x="2218356" y="3634287"/>
          <a:ext cx="837597" cy="40869"/>
        </a:xfrm>
        <a:custGeom>
          <a:avLst/>
          <a:gdLst/>
          <a:ahLst/>
          <a:cxnLst/>
          <a:rect l="0" t="0" r="0" b="0"/>
          <a:pathLst>
            <a:path>
              <a:moveTo>
                <a:pt x="0" y="20434"/>
              </a:moveTo>
              <a:lnTo>
                <a:pt x="837597" y="204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5400000">
        <a:off x="2616215" y="3633781"/>
        <a:ext cx="41879" cy="41879"/>
      </dsp:txXfrm>
    </dsp:sp>
    <dsp:sp modelId="{ED1A9FB7-F545-4112-B346-67B16057647B}">
      <dsp:nvSpPr>
        <dsp:cNvPr id="0" name=""/>
        <dsp:cNvSpPr/>
      </dsp:nvSpPr>
      <dsp:spPr>
        <a:xfrm>
          <a:off x="2038386" y="4073520"/>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GB" sz="1000" kern="1200" baseline="0" smtClean="0">
              <a:latin typeface="Calibri"/>
            </a:rPr>
            <a:t>Car Parking</a:t>
          </a:r>
          <a:endParaRPr lang="en-GB" sz="1000" kern="1200" smtClean="0"/>
        </a:p>
      </dsp:txBody>
      <dsp:txXfrm>
        <a:off x="2038386" y="4073520"/>
        <a:ext cx="1197536" cy="1197536"/>
      </dsp:txXfrm>
    </dsp:sp>
    <dsp:sp modelId="{ECE0F28F-316A-43AB-BB77-5A844520B9F8}">
      <dsp:nvSpPr>
        <dsp:cNvPr id="0" name=""/>
        <dsp:cNvSpPr/>
      </dsp:nvSpPr>
      <dsp:spPr>
        <a:xfrm rot="8100000">
          <a:off x="1498827" y="3336248"/>
          <a:ext cx="837597" cy="40869"/>
        </a:xfrm>
        <a:custGeom>
          <a:avLst/>
          <a:gdLst/>
          <a:ahLst/>
          <a:cxnLst/>
          <a:rect l="0" t="0" r="0" b="0"/>
          <a:pathLst>
            <a:path>
              <a:moveTo>
                <a:pt x="0" y="20434"/>
              </a:moveTo>
              <a:lnTo>
                <a:pt x="837597" y="204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8100000">
        <a:off x="1896686" y="3335743"/>
        <a:ext cx="41879" cy="41879"/>
      </dsp:txXfrm>
    </dsp:sp>
    <dsp:sp modelId="{B7D4B245-1CCE-445B-AB3F-D746C81E8C2F}">
      <dsp:nvSpPr>
        <dsp:cNvPr id="0" name=""/>
        <dsp:cNvSpPr/>
      </dsp:nvSpPr>
      <dsp:spPr>
        <a:xfrm>
          <a:off x="599329" y="3477443"/>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GB" sz="1000" kern="1200" baseline="0" smtClean="0">
              <a:latin typeface="Calibri"/>
            </a:rPr>
            <a:t>Transport Links</a:t>
          </a:r>
          <a:endParaRPr lang="en-GB" sz="1000" kern="1200" smtClean="0"/>
        </a:p>
      </dsp:txBody>
      <dsp:txXfrm>
        <a:off x="599329" y="3477443"/>
        <a:ext cx="1197536" cy="1197536"/>
      </dsp:txXfrm>
    </dsp:sp>
    <dsp:sp modelId="{C4227DAD-5D81-4B68-A2E5-43580088AED1}">
      <dsp:nvSpPr>
        <dsp:cNvPr id="0" name=""/>
        <dsp:cNvSpPr/>
      </dsp:nvSpPr>
      <dsp:spPr>
        <a:xfrm rot="10800000">
          <a:off x="1200789" y="2616720"/>
          <a:ext cx="837597" cy="40869"/>
        </a:xfrm>
        <a:custGeom>
          <a:avLst/>
          <a:gdLst/>
          <a:ahLst/>
          <a:cxnLst/>
          <a:rect l="0" t="0" r="0" b="0"/>
          <a:pathLst>
            <a:path>
              <a:moveTo>
                <a:pt x="0" y="20434"/>
              </a:moveTo>
              <a:lnTo>
                <a:pt x="837597" y="204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0800000">
        <a:off x="1598648" y="2616215"/>
        <a:ext cx="41879" cy="41879"/>
      </dsp:txXfrm>
    </dsp:sp>
    <dsp:sp modelId="{3E27FEC7-F243-45F6-9D70-1A2CE8AC9C39}">
      <dsp:nvSpPr>
        <dsp:cNvPr id="0" name=""/>
        <dsp:cNvSpPr/>
      </dsp:nvSpPr>
      <dsp:spPr>
        <a:xfrm>
          <a:off x="3253" y="2038386"/>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GB" sz="1000" kern="1200" baseline="0" smtClean="0">
              <a:latin typeface="Calibri"/>
            </a:rPr>
            <a:t>Innovations in space utilisation requiring deregation</a:t>
          </a:r>
          <a:endParaRPr lang="en-GB" sz="1000" kern="1200" smtClean="0"/>
        </a:p>
      </dsp:txBody>
      <dsp:txXfrm>
        <a:off x="3253" y="2038386"/>
        <a:ext cx="1197536" cy="1197536"/>
      </dsp:txXfrm>
    </dsp:sp>
    <dsp:sp modelId="{50DC1387-E4A0-46CF-9B32-0FEEBFD86F5D}">
      <dsp:nvSpPr>
        <dsp:cNvPr id="0" name=""/>
        <dsp:cNvSpPr/>
      </dsp:nvSpPr>
      <dsp:spPr>
        <a:xfrm rot="13500000">
          <a:off x="1498827" y="1897191"/>
          <a:ext cx="837597" cy="40869"/>
        </a:xfrm>
        <a:custGeom>
          <a:avLst/>
          <a:gdLst/>
          <a:ahLst/>
          <a:cxnLst/>
          <a:rect l="0" t="0" r="0" b="0"/>
          <a:pathLst>
            <a:path>
              <a:moveTo>
                <a:pt x="0" y="20434"/>
              </a:moveTo>
              <a:lnTo>
                <a:pt x="837597" y="204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3500000">
        <a:off x="1896686" y="1896686"/>
        <a:ext cx="41879" cy="41879"/>
      </dsp:txXfrm>
    </dsp:sp>
    <dsp:sp modelId="{561CAFB1-AF79-454C-B997-DF8243D382DE}">
      <dsp:nvSpPr>
        <dsp:cNvPr id="0" name=""/>
        <dsp:cNvSpPr/>
      </dsp:nvSpPr>
      <dsp:spPr>
        <a:xfrm>
          <a:off x="599329" y="599329"/>
          <a:ext cx="1197536" cy="11975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l" defTabSz="444500" rtl="0">
            <a:lnSpc>
              <a:spcPct val="90000"/>
            </a:lnSpc>
            <a:spcBef>
              <a:spcPct val="0"/>
            </a:spcBef>
            <a:spcAft>
              <a:spcPct val="35000"/>
            </a:spcAft>
          </a:pPr>
          <a:r>
            <a:rPr lang="en-GB" sz="1000" kern="1200" baseline="0" smtClean="0">
              <a:latin typeface="Calibri"/>
            </a:rPr>
            <a:t>CSPD space and equipment replacement</a:t>
          </a:r>
          <a:endParaRPr lang="en-GB" sz="1000" kern="1200" smtClean="0"/>
        </a:p>
      </dsp:txBody>
      <dsp:txXfrm>
        <a:off x="599329" y="599329"/>
        <a:ext cx="1197536" cy="1197536"/>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13</Pages>
  <Words>2263</Words>
  <Characters>12324</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14558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McGuinnessC1</cp:lastModifiedBy>
  <cp:revision>3</cp:revision>
  <cp:lastPrinted>2018-06-07T12:58:00Z</cp:lastPrinted>
  <dcterms:created xsi:type="dcterms:W3CDTF">2018-06-14T12:32:00Z</dcterms:created>
  <dcterms:modified xsi:type="dcterms:W3CDTF">2018-06-14T13:04:00Z</dcterms:modified>
</cp:coreProperties>
</file>