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54B9" w14:textId="77777777" w:rsidR="00430C09" w:rsidRPr="00140DB3" w:rsidRDefault="00430C09" w:rsidP="005763B7">
      <w:pPr>
        <w:pStyle w:val="Heading1"/>
      </w:pPr>
      <w:r w:rsidRPr="00140DB3">
        <w:t xml:space="preserve">NHS </w:t>
      </w:r>
      <w:r w:rsidR="00DD6252">
        <w:t>Golden Jubilee</w:t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63BC2954" wp14:editId="448A5D99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71326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3E267FC2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14:paraId="65FFFEFB" w14:textId="3B975B2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364CF5">
        <w:rPr>
          <w:rStyle w:val="Heading3Char"/>
          <w:b/>
        </w:rPr>
        <w:t xml:space="preserve">27 </w:t>
      </w:r>
      <w:r w:rsidR="003A79DE">
        <w:rPr>
          <w:rStyle w:val="Heading3Char"/>
          <w:b/>
        </w:rPr>
        <w:t>November</w:t>
      </w:r>
      <w:r w:rsidR="00D45DE4">
        <w:rPr>
          <w:rStyle w:val="Heading3Char"/>
          <w:b/>
        </w:rPr>
        <w:t xml:space="preserve"> 2025</w:t>
      </w:r>
    </w:p>
    <w:p w14:paraId="28E5C44B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11A8344F" w14:textId="7777777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765E87">
        <w:rPr>
          <w:rStyle w:val="Heading3Char"/>
          <w:b/>
        </w:rPr>
        <w:t>Jonny Gamble,</w:t>
      </w:r>
      <w:r w:rsidR="004A249F">
        <w:rPr>
          <w:rStyle w:val="Heading3Char"/>
          <w:b/>
        </w:rPr>
        <w:t xml:space="preserve"> </w:t>
      </w:r>
      <w:r w:rsidR="00254D22">
        <w:rPr>
          <w:rStyle w:val="Heading3Char"/>
          <w:b/>
        </w:rPr>
        <w:t xml:space="preserve">Executive </w:t>
      </w:r>
      <w:r w:rsidR="00C3506D">
        <w:rPr>
          <w:rStyle w:val="Heading3Char"/>
          <w:b/>
        </w:rPr>
        <w:t xml:space="preserve">Director </w:t>
      </w:r>
      <w:r w:rsidR="004A249F">
        <w:rPr>
          <w:rStyle w:val="Heading3Char"/>
          <w:b/>
        </w:rPr>
        <w:t>of Finance</w:t>
      </w:r>
      <w:r w:rsidR="00022EE5">
        <w:rPr>
          <w:rStyle w:val="Heading3Char"/>
          <w:b/>
        </w:rPr>
        <w:t xml:space="preserve"> </w:t>
      </w:r>
    </w:p>
    <w:p w14:paraId="7CEB83FA" w14:textId="77777777"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14:paraId="72330062" w14:textId="77777777" w:rsidR="00430C09" w:rsidRDefault="00430C09" w:rsidP="00C81C3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765E87">
        <w:rPr>
          <w:rStyle w:val="Heading3Char"/>
          <w:b/>
        </w:rPr>
        <w:t>Nicki Hamer</w:t>
      </w:r>
      <w:r w:rsidR="00107B3E">
        <w:rPr>
          <w:rStyle w:val="Heading3Char"/>
          <w:b/>
        </w:rPr>
        <w:t>, Head of Corporate Governance</w:t>
      </w:r>
      <w:r w:rsidR="00765E87">
        <w:rPr>
          <w:rStyle w:val="Heading3Char"/>
          <w:b/>
        </w:rPr>
        <w:t xml:space="preserve"> and Board Secretary</w:t>
      </w:r>
      <w:r w:rsidR="00107B3E">
        <w:rPr>
          <w:rStyle w:val="Heading3Char"/>
          <w:b/>
        </w:rPr>
        <w:t xml:space="preserve"> </w:t>
      </w:r>
    </w:p>
    <w:p w14:paraId="29A2A577" w14:textId="77777777" w:rsidR="00B77902" w:rsidRDefault="00B77902" w:rsidP="00B77902"/>
    <w:p w14:paraId="5FB2956E" w14:textId="77777777" w:rsidR="00C81C30" w:rsidRPr="00B77902" w:rsidRDefault="00C81C30" w:rsidP="00B77902"/>
    <w:p w14:paraId="611B7693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75A0C888" w14:textId="77777777" w:rsidR="003D757C" w:rsidRPr="003D757C" w:rsidRDefault="003D757C" w:rsidP="003D757C">
      <w:pPr>
        <w:ind w:left="709"/>
      </w:pPr>
    </w:p>
    <w:p w14:paraId="3439EF29" w14:textId="77777777" w:rsidR="00A43898" w:rsidRDefault="007D1AAE" w:rsidP="00A43898">
      <w:pPr>
        <w:pStyle w:val="Heading3"/>
        <w:spacing w:line="276" w:lineRule="auto"/>
        <w:ind w:left="720"/>
        <w:rPr>
          <w:lang w:eastAsia="en-GB"/>
        </w:rPr>
      </w:pPr>
      <w:r>
        <w:rPr>
          <w:lang w:eastAsia="en-GB"/>
        </w:rPr>
        <w:t>This is presented to NHS Golden Jubilee</w:t>
      </w:r>
      <w:r w:rsidR="00A43898" w:rsidRPr="009807B4">
        <w:rPr>
          <w:lang w:eastAsia="en-GB"/>
        </w:rPr>
        <w:t xml:space="preserve"> Board for: </w:t>
      </w:r>
    </w:p>
    <w:p w14:paraId="2D98C526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58D000B2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3EB787DA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21E39236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326CD731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148847C6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B3629A8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77E8EABE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3D827DA0" w14:textId="77777777" w:rsidR="00430C09" w:rsidRDefault="00430C09" w:rsidP="009807B4">
      <w:pPr>
        <w:spacing w:line="276" w:lineRule="auto"/>
      </w:pPr>
    </w:p>
    <w:p w14:paraId="521A2DAE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51573BC9" w14:textId="77777777" w:rsidR="00264B09" w:rsidRDefault="00264B09" w:rsidP="00264B09">
      <w:pPr>
        <w:ind w:left="709" w:right="183"/>
        <w:rPr>
          <w:rFonts w:cs="Arial"/>
          <w:b/>
          <w:bCs/>
          <w:color w:val="FF0000"/>
        </w:rPr>
      </w:pPr>
    </w:p>
    <w:p w14:paraId="1A9D641D" w14:textId="77777777" w:rsidR="00264B09" w:rsidRPr="00013107" w:rsidRDefault="00264B09" w:rsidP="00264B09">
      <w:pPr>
        <w:ind w:left="982" w:right="183" w:firstLine="11"/>
        <w:rPr>
          <w:rFonts w:cs="Arial"/>
          <w:b/>
          <w:bCs/>
          <w:color w:val="FF0000"/>
        </w:rPr>
      </w:pPr>
      <w:r w:rsidRPr="00013107">
        <w:rPr>
          <w:rFonts w:cs="Arial"/>
          <w:b/>
          <w:bCs/>
          <w:color w:val="FF0000"/>
        </w:rPr>
        <w:t>There were no issues of concern raised at the meeting.</w:t>
      </w:r>
    </w:p>
    <w:p w14:paraId="23167B10" w14:textId="77777777" w:rsidR="00264B09" w:rsidRDefault="00264B09" w:rsidP="005F4D65">
      <w:pPr>
        <w:ind w:left="993" w:right="183"/>
        <w:rPr>
          <w:rFonts w:cs="Arial"/>
          <w:bCs/>
        </w:rPr>
      </w:pPr>
    </w:p>
    <w:p w14:paraId="307BD614" w14:textId="6BFA17D2"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 w:rsidR="003A79DE">
        <w:rPr>
          <w:rFonts w:cs="Arial"/>
          <w:bCs/>
        </w:rPr>
        <w:t xml:space="preserve">13 November </w:t>
      </w:r>
      <w:r w:rsidR="00DE04A0">
        <w:rPr>
          <w:rFonts w:cs="Arial"/>
          <w:bCs/>
        </w:rPr>
        <w:t>202</w:t>
      </w:r>
      <w:r w:rsidR="00535AB8">
        <w:rPr>
          <w:rFonts w:cs="Arial"/>
          <w:bCs/>
        </w:rPr>
        <w:t>5</w:t>
      </w:r>
      <w:r w:rsidR="00050D76">
        <w:rPr>
          <w:rFonts w:cs="Arial"/>
          <w:bCs/>
        </w:rPr>
        <w:t xml:space="preserve">, the following key points were noted at the meeting.  </w:t>
      </w:r>
    </w:p>
    <w:p w14:paraId="19D078C3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64D36501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6DB58CDB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68E99A5A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42838107" w14:textId="77777777" w:rsidTr="00022EE5">
        <w:tc>
          <w:tcPr>
            <w:tcW w:w="1251" w:type="dxa"/>
            <w:gridSpan w:val="2"/>
          </w:tcPr>
          <w:p w14:paraId="1CD6D04D" w14:textId="77777777" w:rsidR="00666AAB" w:rsidRPr="00961E4D" w:rsidRDefault="00666AAB" w:rsidP="00CC1AD7">
            <w:pPr>
              <w:rPr>
                <w:rFonts w:cs="Arial"/>
                <w:b/>
                <w:bCs/>
                <w:lang w:val="en-US"/>
              </w:rPr>
            </w:pPr>
            <w:r w:rsidRPr="00961E4D">
              <w:rPr>
                <w:rFonts w:cs="Arial"/>
                <w:b/>
                <w:bCs/>
                <w:lang w:val="en-US"/>
              </w:rPr>
              <w:t>Effective</w:t>
            </w:r>
          </w:p>
          <w:p w14:paraId="7801D3E4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792ABB53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776155C3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6C24085B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3D618844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61B56042" w14:textId="77777777" w:rsidR="00666AAB" w:rsidRPr="00264B09" w:rsidRDefault="00666AAB" w:rsidP="00666AAB">
            <w:pPr>
              <w:rPr>
                <w:rFonts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929" w:type="dxa"/>
          </w:tcPr>
          <w:p w14:paraId="4FA20535" w14:textId="331BAEEB" w:rsidR="003A79DE" w:rsidRDefault="003A79DE" w:rsidP="00335868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3A79DE">
              <w:rPr>
                <w:rFonts w:eastAsiaTheme="minorHAnsi" w:cs="Arial"/>
                <w:spacing w:val="0"/>
                <w:szCs w:val="24"/>
                <w:lang w:val="en-US"/>
              </w:rPr>
              <w:t>The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Committee reflected on the excellent operation</w:t>
            </w:r>
            <w:r w:rsidR="00E600E5">
              <w:rPr>
                <w:rFonts w:eastAsiaTheme="minorHAnsi" w:cs="Arial"/>
                <w:spacing w:val="0"/>
                <w:szCs w:val="24"/>
                <w:lang w:val="en-US"/>
              </w:rPr>
              <w:t>al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performance whilst noting the </w:t>
            </w:r>
            <w:r w:rsidR="00C5657F">
              <w:rPr>
                <w:rFonts w:eastAsiaTheme="minorHAnsi" w:cs="Arial"/>
                <w:spacing w:val="0"/>
                <w:szCs w:val="24"/>
                <w:lang w:val="en-US"/>
              </w:rPr>
              <w:t>third CT scanner had been installed early with the first patient scanned in August 2025.</w:t>
            </w:r>
            <w:r w:rsidR="00335868">
              <w:rPr>
                <w:rFonts w:eastAsiaTheme="minorHAnsi" w:cs="Arial"/>
                <w:spacing w:val="0"/>
                <w:szCs w:val="24"/>
                <w:lang w:val="en-US"/>
              </w:rPr>
              <w:t xml:space="preserve">  </w:t>
            </w:r>
            <w:r w:rsidR="00335868" w:rsidRPr="00335868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335868" w:rsidRPr="00335868">
              <w:rPr>
                <w:rFonts w:eastAsiaTheme="minorHAnsi" w:cs="Arial"/>
                <w:spacing w:val="0"/>
                <w:szCs w:val="24"/>
              </w:rPr>
              <w:t xml:space="preserve">SACCS pause in service continued with limited surgical and Cath Lab interventional activity. The </w:t>
            </w:r>
            <w:r w:rsidR="00335868">
              <w:rPr>
                <w:rFonts w:eastAsiaTheme="minorHAnsi" w:cs="Arial"/>
                <w:spacing w:val="0"/>
                <w:szCs w:val="24"/>
              </w:rPr>
              <w:t>External R</w:t>
            </w:r>
            <w:r w:rsidR="00335868" w:rsidRPr="00335868">
              <w:rPr>
                <w:rFonts w:eastAsiaTheme="minorHAnsi" w:cs="Arial"/>
                <w:spacing w:val="0"/>
                <w:szCs w:val="24"/>
              </w:rPr>
              <w:t>eview report has been delayed and is expected early November.</w:t>
            </w:r>
            <w:r w:rsidR="00335868" w:rsidRPr="003A79DE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14:paraId="6F258D4D" w14:textId="70865610" w:rsidR="00335868" w:rsidRDefault="00335868" w:rsidP="00335868">
            <w:pPr>
              <w:spacing w:line="259" w:lineRule="auto"/>
              <w:jc w:val="center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7D4FC334" w14:textId="71DA30A6" w:rsidR="00335868" w:rsidRDefault="00335868" w:rsidP="00335868">
            <w:pPr>
              <w:spacing w:line="259" w:lineRule="auto"/>
              <w:rPr>
                <w:rFonts w:eastAsiaTheme="minorHAnsi" w:cs="Arial"/>
                <w:spacing w:val="0"/>
                <w:szCs w:val="24"/>
              </w:rPr>
            </w:pPr>
            <w:r w:rsidRPr="00335868">
              <w:rPr>
                <w:rFonts w:eastAsiaTheme="minorHAnsi" w:cs="Arial"/>
                <w:spacing w:val="0"/>
                <w:szCs w:val="24"/>
                <w:lang w:val="en-US"/>
              </w:rPr>
              <w:t>The Committee was pleased to note a</w:t>
            </w:r>
            <w:r w:rsidRPr="00335868">
              <w:rPr>
                <w:rFonts w:eastAsiaTheme="minorHAnsi" w:cs="Arial"/>
                <w:spacing w:val="0"/>
                <w:szCs w:val="24"/>
              </w:rPr>
              <w:t xml:space="preserve">dditional EP weekend activity had commenced to address </w:t>
            </w:r>
            <w:r w:rsidR="00E600E5">
              <w:rPr>
                <w:rFonts w:eastAsiaTheme="minorHAnsi" w:cs="Arial"/>
                <w:spacing w:val="0"/>
                <w:szCs w:val="24"/>
              </w:rPr>
              <w:t xml:space="preserve">the </w:t>
            </w:r>
            <w:r w:rsidRPr="00335868">
              <w:rPr>
                <w:rFonts w:eastAsiaTheme="minorHAnsi" w:cs="Arial"/>
                <w:spacing w:val="0"/>
                <w:szCs w:val="24"/>
              </w:rPr>
              <w:t>&gt;52 week position.</w:t>
            </w:r>
          </w:p>
          <w:p w14:paraId="1C9C1584" w14:textId="227367DD" w:rsidR="004A0DDC" w:rsidRDefault="004A0DDC" w:rsidP="00335868">
            <w:pPr>
              <w:spacing w:line="259" w:lineRule="auto"/>
              <w:rPr>
                <w:rFonts w:eastAsiaTheme="minorHAnsi" w:cs="Arial"/>
                <w:spacing w:val="0"/>
                <w:szCs w:val="24"/>
              </w:rPr>
            </w:pPr>
          </w:p>
          <w:p w14:paraId="40644B13" w14:textId="32E40EDE" w:rsidR="004A0DDC" w:rsidRDefault="004A0DDC" w:rsidP="00335868">
            <w:pPr>
              <w:spacing w:line="259" w:lineRule="auto"/>
              <w:rPr>
                <w:rFonts w:eastAsiaTheme="minorHAnsi" w:cs="Arial"/>
                <w:spacing w:val="0"/>
                <w:szCs w:val="24"/>
              </w:rPr>
            </w:pPr>
            <w:r>
              <w:rPr>
                <w:rFonts w:eastAsiaTheme="minorHAnsi" w:cs="Arial"/>
                <w:spacing w:val="0"/>
                <w:szCs w:val="24"/>
              </w:rPr>
              <w:t xml:space="preserve">The Committee noted the challenges with Ophthalmology referrals &gt;52 weeks being reported incorrectly as breaches and were </w:t>
            </w:r>
            <w:r w:rsidR="00E600E5">
              <w:rPr>
                <w:rFonts w:eastAsiaTheme="minorHAnsi" w:cs="Arial"/>
                <w:spacing w:val="0"/>
                <w:szCs w:val="24"/>
              </w:rPr>
              <w:t xml:space="preserve">assured </w:t>
            </w:r>
            <w:r>
              <w:rPr>
                <w:rFonts w:eastAsiaTheme="minorHAnsi" w:cs="Arial"/>
                <w:spacing w:val="0"/>
                <w:szCs w:val="24"/>
              </w:rPr>
              <w:t>discussions were underway with Scottish Government to agree appropriate narrative and reporting.</w:t>
            </w:r>
          </w:p>
          <w:p w14:paraId="7EAE87C9" w14:textId="1F34DB7D" w:rsidR="00FC0814" w:rsidRDefault="00FC0814" w:rsidP="00335868">
            <w:pPr>
              <w:spacing w:line="259" w:lineRule="auto"/>
              <w:rPr>
                <w:rFonts w:eastAsiaTheme="minorHAnsi" w:cs="Arial"/>
                <w:spacing w:val="0"/>
                <w:szCs w:val="24"/>
              </w:rPr>
            </w:pPr>
          </w:p>
          <w:p w14:paraId="4DAE9562" w14:textId="1E763C03" w:rsidR="00FC0814" w:rsidRPr="003E6D7B" w:rsidRDefault="00FC0814" w:rsidP="003E6D7B">
            <w:pPr>
              <w:spacing w:before="40" w:after="40" w:line="276" w:lineRule="auto"/>
              <w:rPr>
                <w:rFonts w:eastAsiaTheme="minorHAnsi" w:cs="Arial"/>
                <w:szCs w:val="24"/>
              </w:rPr>
            </w:pPr>
            <w:r w:rsidRPr="003E6D7B">
              <w:rPr>
                <w:rFonts w:eastAsiaTheme="minorHAnsi" w:cs="Arial"/>
                <w:szCs w:val="24"/>
              </w:rPr>
              <w:t>The Committee welcomed an update from NHS GJ Research Institute and commended the income performance which had exceeded</w:t>
            </w:r>
            <w:r w:rsidR="003E6D7B" w:rsidRPr="003E6D7B">
              <w:rPr>
                <w:rFonts w:eastAsiaTheme="minorHAnsi" w:cs="Arial"/>
                <w:szCs w:val="24"/>
              </w:rPr>
              <w:t xml:space="preserve"> the </w:t>
            </w:r>
            <w:r w:rsidR="00E600E5" w:rsidRPr="003E6D7B">
              <w:rPr>
                <w:rFonts w:eastAsiaTheme="minorHAnsi" w:cs="Arial"/>
                <w:szCs w:val="24"/>
              </w:rPr>
              <w:t>mid-year</w:t>
            </w:r>
            <w:r w:rsidR="003E6D7B" w:rsidRPr="003E6D7B">
              <w:rPr>
                <w:rFonts w:eastAsiaTheme="minorHAnsi" w:cs="Arial"/>
                <w:szCs w:val="24"/>
              </w:rPr>
              <w:t xml:space="preserve"> target </w:t>
            </w:r>
            <w:r w:rsidRPr="003E6D7B">
              <w:rPr>
                <w:rFonts w:eastAsiaTheme="minorHAnsi" w:cs="Arial"/>
                <w:szCs w:val="24"/>
              </w:rPr>
              <w:t>by 20%</w:t>
            </w:r>
            <w:r w:rsidR="003E6D7B" w:rsidRPr="003E6D7B">
              <w:rPr>
                <w:rFonts w:eastAsiaTheme="minorHAnsi" w:cs="Arial"/>
                <w:szCs w:val="24"/>
              </w:rPr>
              <w:t xml:space="preserve"> despite </w:t>
            </w:r>
            <w:r w:rsidR="003E6D7B" w:rsidRPr="003E6D7B">
              <w:rPr>
                <w:rFonts w:cs="Arial"/>
                <w:szCs w:val="24"/>
              </w:rPr>
              <w:t>Research Project Approvals and participant recruitment being slightly below target</w:t>
            </w:r>
            <w:r w:rsidR="00E600E5">
              <w:rPr>
                <w:rFonts w:cs="Arial"/>
                <w:szCs w:val="24"/>
              </w:rPr>
              <w:t>.</w:t>
            </w:r>
          </w:p>
          <w:p w14:paraId="0F3D41B8" w14:textId="400C89DB" w:rsidR="003E6D7B" w:rsidRDefault="003E6D7B" w:rsidP="00335868">
            <w:pPr>
              <w:spacing w:line="259" w:lineRule="auto"/>
              <w:rPr>
                <w:rFonts w:eastAsiaTheme="minorHAnsi" w:cs="Arial"/>
                <w:spacing w:val="0"/>
                <w:szCs w:val="24"/>
              </w:rPr>
            </w:pPr>
          </w:p>
          <w:p w14:paraId="49D28CD6" w14:textId="7FF7D3F8" w:rsidR="00286E9B" w:rsidRDefault="003E6D7B" w:rsidP="00286E9B">
            <w:pPr>
              <w:spacing w:line="259" w:lineRule="auto"/>
              <w:rPr>
                <w:rFonts w:eastAsiaTheme="minorHAnsi" w:cs="Arial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</w:rPr>
              <w:t>The Committee welcomed the Whole System Infrastructure Planning update</w:t>
            </w:r>
            <w:r w:rsidR="00286E9B">
              <w:rPr>
                <w:rFonts w:eastAsiaTheme="minorHAnsi" w:cs="Arial"/>
                <w:spacing w:val="0"/>
                <w:szCs w:val="24"/>
              </w:rPr>
              <w:t xml:space="preserve"> and noted </w:t>
            </w:r>
            <w:r w:rsidR="00E600E5">
              <w:rPr>
                <w:rFonts w:eastAsiaTheme="minorHAnsi" w:cs="Arial"/>
                <w:spacing w:val="0"/>
                <w:szCs w:val="24"/>
              </w:rPr>
              <w:t xml:space="preserve">NHS </w:t>
            </w:r>
            <w:r w:rsidR="00286E9B" w:rsidRPr="00286E9B">
              <w:rPr>
                <w:rFonts w:eastAsiaTheme="minorHAnsi" w:cs="Arial"/>
                <w:lang w:val="en-US"/>
              </w:rPr>
              <w:t xml:space="preserve">Boards </w:t>
            </w:r>
            <w:r w:rsidR="00286E9B">
              <w:rPr>
                <w:rFonts w:eastAsiaTheme="minorHAnsi" w:cs="Arial"/>
                <w:lang w:val="en-US"/>
              </w:rPr>
              <w:t>were required to</w:t>
            </w:r>
            <w:r w:rsidR="00286E9B" w:rsidRPr="00286E9B">
              <w:rPr>
                <w:rFonts w:eastAsiaTheme="minorHAnsi" w:cs="Arial"/>
                <w:lang w:val="en-US"/>
              </w:rPr>
              <w:t xml:space="preserve"> submit up to three priority proposals between 2026 and early 2027 to support long-term service transformation.</w:t>
            </w:r>
          </w:p>
          <w:p w14:paraId="59BAA692" w14:textId="77777777" w:rsidR="008A6996" w:rsidRPr="008D3E48" w:rsidRDefault="008A6996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68950F2B" w14:textId="6EE29CB2" w:rsidR="008A6996" w:rsidRPr="008D3E48" w:rsidRDefault="008A6996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254D22" w:rsidRPr="008D3E48">
              <w:rPr>
                <w:rFonts w:eastAsiaTheme="minorHAnsi" w:cs="Arial"/>
                <w:spacing w:val="0"/>
                <w:szCs w:val="24"/>
                <w:lang w:val="en-US"/>
              </w:rPr>
              <w:t>C</w:t>
            </w: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 xml:space="preserve">ommittee approved the </w:t>
            </w:r>
            <w:r w:rsidR="008D3E48" w:rsidRPr="008D3E48">
              <w:rPr>
                <w:rFonts w:eastAsiaTheme="minorHAnsi" w:cs="Arial"/>
                <w:spacing w:val="0"/>
                <w:szCs w:val="24"/>
                <w:lang w:val="en-US"/>
              </w:rPr>
              <w:t xml:space="preserve">Financial Summary Report for Month 5 </w:t>
            </w:r>
            <w:r w:rsidR="00254D22" w:rsidRPr="008D3E48">
              <w:rPr>
                <w:rFonts w:eastAsiaTheme="minorHAnsi" w:cs="Arial"/>
                <w:spacing w:val="0"/>
                <w:szCs w:val="24"/>
                <w:lang w:val="en-US"/>
              </w:rPr>
              <w:t>20</w:t>
            </w: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>25</w:t>
            </w:r>
            <w:r w:rsidR="00D41407" w:rsidRPr="008D3E48">
              <w:rPr>
                <w:rFonts w:eastAsiaTheme="minorHAnsi" w:cs="Arial"/>
                <w:spacing w:val="0"/>
                <w:szCs w:val="24"/>
                <w:lang w:val="en-US"/>
              </w:rPr>
              <w:t>/</w:t>
            </w:r>
            <w:r w:rsidR="00254D22" w:rsidRPr="008D3E48">
              <w:rPr>
                <w:rFonts w:eastAsiaTheme="minorHAnsi" w:cs="Arial"/>
                <w:spacing w:val="0"/>
                <w:szCs w:val="24"/>
                <w:lang w:val="en-US"/>
              </w:rPr>
              <w:t>20</w:t>
            </w: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>26.</w:t>
            </w:r>
          </w:p>
          <w:p w14:paraId="6793E696" w14:textId="77777777" w:rsidR="00D41407" w:rsidRPr="008D3E48" w:rsidRDefault="00D41407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4E27C9F4" w14:textId="12EA5065" w:rsidR="00D41407" w:rsidRPr="008D3E48" w:rsidRDefault="00D41407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approved the </w:t>
            </w:r>
            <w:r w:rsidR="008D3E48" w:rsidRPr="008D3E48">
              <w:rPr>
                <w:rFonts w:eastAsiaTheme="minorHAnsi" w:cs="Arial"/>
                <w:spacing w:val="0"/>
                <w:szCs w:val="24"/>
                <w:lang w:val="en-US"/>
              </w:rPr>
              <w:t>Capital Position 2025/26.</w:t>
            </w:r>
          </w:p>
          <w:p w14:paraId="421AF261" w14:textId="49A8EC82" w:rsidR="008D3E48" w:rsidRPr="008D3E48" w:rsidRDefault="008D3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70861196" w14:textId="24F8A38B" w:rsidR="008D3E48" w:rsidRPr="008D3E48" w:rsidRDefault="008D3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>The Committee approved the Climate Emergency Sustainability Annual Report 2024/25.</w:t>
            </w:r>
          </w:p>
          <w:p w14:paraId="71A6C7D0" w14:textId="03B7F4B4" w:rsidR="008D3E48" w:rsidRPr="008D3E48" w:rsidRDefault="008D3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433348B3" w14:textId="266258B2" w:rsidR="008D3E48" w:rsidRPr="008D3E48" w:rsidRDefault="008D3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>The Committee approved the Public Bodies Climate Change Duties Report 2024/25.</w:t>
            </w:r>
          </w:p>
          <w:p w14:paraId="25F171B1" w14:textId="3BEE68A2" w:rsidR="008D3E48" w:rsidRPr="008D3E48" w:rsidRDefault="008D3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4430F14F" w14:textId="1ECA8AC4" w:rsidR="008D3E48" w:rsidRPr="008D3E48" w:rsidRDefault="008D3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>The Committee approved the Strategic Risk Register.</w:t>
            </w:r>
          </w:p>
          <w:p w14:paraId="5B3A4A68" w14:textId="3D937E90" w:rsidR="008D3E48" w:rsidRPr="008D3E48" w:rsidRDefault="008D3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16FA16F" w14:textId="385C6B2E" w:rsidR="00425998" w:rsidRDefault="008D3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8D3E48">
              <w:rPr>
                <w:rFonts w:eastAsiaTheme="minorHAnsi" w:cs="Arial"/>
                <w:spacing w:val="0"/>
                <w:szCs w:val="24"/>
                <w:lang w:val="en-US"/>
              </w:rPr>
              <w:t>The Committee approved both the NHSSA and the CfSD Financial 6 Monthly reports.</w:t>
            </w:r>
            <w:r w:rsidR="007751A2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14:paraId="2E60615A" w14:textId="75B00133" w:rsidR="00707459" w:rsidRPr="00A769F3" w:rsidRDefault="00707459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</w:tc>
      </w:tr>
    </w:tbl>
    <w:p w14:paraId="49F9C062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0D565D73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454BC331" w14:textId="7F68EF54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535AB8">
        <w:rPr>
          <w:rFonts w:hAnsi="Arial" w:cs="Arial"/>
          <w:lang w:val="en-US"/>
        </w:rPr>
        <w:t>Thur</w:t>
      </w:r>
      <w:r w:rsidR="00B312CF">
        <w:rPr>
          <w:rFonts w:hAnsi="Arial" w:cs="Arial"/>
          <w:lang w:val="en-US"/>
        </w:rPr>
        <w:t xml:space="preserve">sday </w:t>
      </w:r>
      <w:r w:rsidR="008D3E48">
        <w:rPr>
          <w:rFonts w:hAnsi="Arial" w:cs="Arial"/>
          <w:lang w:val="en-US"/>
        </w:rPr>
        <w:t>12 February</w:t>
      </w:r>
      <w:r w:rsidR="00264B09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</w:t>
      </w:r>
      <w:r w:rsidR="008D3E48">
        <w:rPr>
          <w:rFonts w:hAnsi="Arial" w:cs="Arial"/>
          <w:lang w:val="en-US"/>
        </w:rPr>
        <w:t>6</w:t>
      </w:r>
      <w:r>
        <w:rPr>
          <w:rFonts w:hAnsi="Arial" w:cs="Arial"/>
          <w:lang w:val="en-US"/>
        </w:rPr>
        <w:t>.</w:t>
      </w:r>
    </w:p>
    <w:p w14:paraId="068C1468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46F798F2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23B35A7A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32A2B6A4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27456D86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Update.</w:t>
      </w:r>
    </w:p>
    <w:p w14:paraId="2D876D25" w14:textId="77777777" w:rsidR="003D757C" w:rsidRDefault="003D757C" w:rsidP="007E133D">
      <w:pPr>
        <w:ind w:right="183"/>
        <w:rPr>
          <w:rFonts w:cs="Arial"/>
        </w:rPr>
      </w:pPr>
    </w:p>
    <w:p w14:paraId="77B2BBF2" w14:textId="77777777" w:rsidR="00D41407" w:rsidRDefault="00D41407" w:rsidP="007E133D">
      <w:pPr>
        <w:ind w:right="183"/>
        <w:rPr>
          <w:rFonts w:cs="Arial"/>
        </w:rPr>
      </w:pPr>
    </w:p>
    <w:p w14:paraId="39C1F393" w14:textId="77777777" w:rsidR="00D41407" w:rsidRDefault="00D41407" w:rsidP="007E133D">
      <w:pPr>
        <w:ind w:right="183"/>
        <w:rPr>
          <w:rFonts w:cs="Arial"/>
        </w:rPr>
      </w:pPr>
    </w:p>
    <w:p w14:paraId="3F72F883" w14:textId="77777777" w:rsidR="003D757C" w:rsidRDefault="003D757C" w:rsidP="007E133D">
      <w:pPr>
        <w:ind w:right="183"/>
        <w:rPr>
          <w:rFonts w:cs="Arial"/>
        </w:rPr>
      </w:pPr>
    </w:p>
    <w:p w14:paraId="38B48BC9" w14:textId="77777777" w:rsidR="007E133D" w:rsidRDefault="00AD3B8D" w:rsidP="00B41BB0">
      <w:pPr>
        <w:ind w:left="360" w:right="183" w:firstLine="72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14:paraId="016381D4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14:paraId="61785364" w14:textId="1AAA1B93" w:rsidR="007E133D" w:rsidRDefault="008D3E48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November </w:t>
      </w:r>
      <w:r w:rsidR="009E3B47">
        <w:rPr>
          <w:rFonts w:cs="Arial"/>
          <w:b/>
          <w:bCs/>
        </w:rPr>
        <w:t>2025</w:t>
      </w:r>
    </w:p>
    <w:p w14:paraId="60241811" w14:textId="77777777" w:rsidR="007E133D" w:rsidRPr="00050D76" w:rsidRDefault="007E133D" w:rsidP="00050D76"/>
    <w:sectPr w:rsidR="007E133D" w:rsidRPr="00050D76" w:rsidSect="00995D9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4C44" w14:textId="77777777" w:rsidR="003C624E" w:rsidRDefault="003C624E">
      <w:r>
        <w:separator/>
      </w:r>
    </w:p>
  </w:endnote>
  <w:endnote w:type="continuationSeparator" w:id="0">
    <w:p w14:paraId="6FACC688" w14:textId="77777777" w:rsidR="003C624E" w:rsidRDefault="003C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2033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8BD4974" w14:textId="6C773C62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E600E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E600E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3113" w14:textId="77777777" w:rsidR="003C624E" w:rsidRDefault="003C624E">
      <w:r>
        <w:separator/>
      </w:r>
    </w:p>
  </w:footnote>
  <w:footnote w:type="continuationSeparator" w:id="0">
    <w:p w14:paraId="6174D544" w14:textId="77777777" w:rsidR="003C624E" w:rsidRDefault="003C6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9873" w14:textId="28BA7C2F" w:rsidR="000369E6" w:rsidRPr="003A79DE" w:rsidRDefault="000369E6" w:rsidP="00E600E5">
    <w:pPr>
      <w:pStyle w:val="Header"/>
      <w:ind w:left="720"/>
      <w:jc w:val="right"/>
      <w:rPr>
        <w:b/>
      </w:rPr>
    </w:pPr>
    <w:r>
      <w:tab/>
    </w:r>
    <w:r>
      <w:tab/>
    </w:r>
    <w:r w:rsidR="003A79DE">
      <w:t xml:space="preserve">    </w:t>
    </w:r>
    <w:r w:rsidR="00E600E5">
      <w:t xml:space="preserve">   </w:t>
    </w:r>
    <w:r w:rsidR="003A79DE" w:rsidRPr="003A79DE">
      <w:rPr>
        <w:b/>
        <w:color w:val="0070C0"/>
      </w:rPr>
      <w:t>Board Item 3.4.4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E474D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765E"/>
    <w:multiLevelType w:val="multilevel"/>
    <w:tmpl w:val="7D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27B80"/>
    <w:multiLevelType w:val="hybridMultilevel"/>
    <w:tmpl w:val="DCE03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17F0B"/>
    <w:multiLevelType w:val="hybridMultilevel"/>
    <w:tmpl w:val="57DAB832"/>
    <w:lvl w:ilvl="0" w:tplc="EA4C25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6569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28A5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AE76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A782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4E3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0A4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E667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2A6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105080">
    <w:abstractNumId w:val="19"/>
  </w:num>
  <w:num w:numId="2" w16cid:durableId="1091780870">
    <w:abstractNumId w:val="0"/>
  </w:num>
  <w:num w:numId="3" w16cid:durableId="356544605">
    <w:abstractNumId w:val="12"/>
  </w:num>
  <w:num w:numId="4" w16cid:durableId="1335839399">
    <w:abstractNumId w:val="25"/>
  </w:num>
  <w:num w:numId="5" w16cid:durableId="272059615">
    <w:abstractNumId w:val="10"/>
  </w:num>
  <w:num w:numId="6" w16cid:durableId="1832217144">
    <w:abstractNumId w:val="7"/>
  </w:num>
  <w:num w:numId="7" w16cid:durableId="1441729233">
    <w:abstractNumId w:val="13"/>
  </w:num>
  <w:num w:numId="8" w16cid:durableId="1994674489">
    <w:abstractNumId w:val="6"/>
  </w:num>
  <w:num w:numId="9" w16cid:durableId="101263828">
    <w:abstractNumId w:val="17"/>
  </w:num>
  <w:num w:numId="10" w16cid:durableId="1628659440">
    <w:abstractNumId w:val="3"/>
  </w:num>
  <w:num w:numId="11" w16cid:durableId="786243575">
    <w:abstractNumId w:val="18"/>
  </w:num>
  <w:num w:numId="12" w16cid:durableId="166866965">
    <w:abstractNumId w:val="2"/>
  </w:num>
  <w:num w:numId="13" w16cid:durableId="2068338155">
    <w:abstractNumId w:val="4"/>
  </w:num>
  <w:num w:numId="14" w16cid:durableId="1309703115">
    <w:abstractNumId w:val="8"/>
  </w:num>
  <w:num w:numId="15" w16cid:durableId="1054043260">
    <w:abstractNumId w:val="11"/>
  </w:num>
  <w:num w:numId="16" w16cid:durableId="849491784">
    <w:abstractNumId w:val="9"/>
  </w:num>
  <w:num w:numId="17" w16cid:durableId="79911909">
    <w:abstractNumId w:val="16"/>
  </w:num>
  <w:num w:numId="18" w16cid:durableId="1846749463">
    <w:abstractNumId w:val="15"/>
  </w:num>
  <w:num w:numId="19" w16cid:durableId="1942301933">
    <w:abstractNumId w:val="5"/>
  </w:num>
  <w:num w:numId="20" w16cid:durableId="1789622473">
    <w:abstractNumId w:val="14"/>
  </w:num>
  <w:num w:numId="21" w16cid:durableId="1239752281">
    <w:abstractNumId w:val="1"/>
  </w:num>
  <w:num w:numId="22" w16cid:durableId="1707943067">
    <w:abstractNumId w:val="24"/>
  </w:num>
  <w:num w:numId="23" w16cid:durableId="1089933587">
    <w:abstractNumId w:val="20"/>
  </w:num>
  <w:num w:numId="24" w16cid:durableId="548229947">
    <w:abstractNumId w:val="21"/>
  </w:num>
  <w:num w:numId="25" w16cid:durableId="116073715">
    <w:abstractNumId w:val="23"/>
  </w:num>
  <w:num w:numId="26" w16cid:durableId="8912329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11140"/>
    <w:rsid w:val="00012BE4"/>
    <w:rsid w:val="00013107"/>
    <w:rsid w:val="0002006F"/>
    <w:rsid w:val="00022EE5"/>
    <w:rsid w:val="0003098A"/>
    <w:rsid w:val="000369E6"/>
    <w:rsid w:val="000451B7"/>
    <w:rsid w:val="00047714"/>
    <w:rsid w:val="00050D76"/>
    <w:rsid w:val="00053E01"/>
    <w:rsid w:val="0006550E"/>
    <w:rsid w:val="00070BE9"/>
    <w:rsid w:val="00072A23"/>
    <w:rsid w:val="00076AA5"/>
    <w:rsid w:val="00076EF2"/>
    <w:rsid w:val="00085465"/>
    <w:rsid w:val="000914EB"/>
    <w:rsid w:val="00091974"/>
    <w:rsid w:val="000945DB"/>
    <w:rsid w:val="000C561F"/>
    <w:rsid w:val="000E2BDE"/>
    <w:rsid w:val="000E316C"/>
    <w:rsid w:val="000F7706"/>
    <w:rsid w:val="00100F2A"/>
    <w:rsid w:val="00102D33"/>
    <w:rsid w:val="00107B3E"/>
    <w:rsid w:val="00123730"/>
    <w:rsid w:val="00125A9E"/>
    <w:rsid w:val="00132AF3"/>
    <w:rsid w:val="0013648C"/>
    <w:rsid w:val="00140DB3"/>
    <w:rsid w:val="00141701"/>
    <w:rsid w:val="00155A30"/>
    <w:rsid w:val="001B5F9F"/>
    <w:rsid w:val="001B6E8A"/>
    <w:rsid w:val="001C259F"/>
    <w:rsid w:val="001D05E4"/>
    <w:rsid w:val="001D0FFB"/>
    <w:rsid w:val="001D11B6"/>
    <w:rsid w:val="001E7464"/>
    <w:rsid w:val="00212532"/>
    <w:rsid w:val="0023473B"/>
    <w:rsid w:val="0023724F"/>
    <w:rsid w:val="00254D22"/>
    <w:rsid w:val="00256F61"/>
    <w:rsid w:val="00262DD5"/>
    <w:rsid w:val="00264B09"/>
    <w:rsid w:val="00274900"/>
    <w:rsid w:val="00276D25"/>
    <w:rsid w:val="00286AFE"/>
    <w:rsid w:val="00286E9B"/>
    <w:rsid w:val="002A5094"/>
    <w:rsid w:val="002B54EF"/>
    <w:rsid w:val="002B72F8"/>
    <w:rsid w:val="002D7616"/>
    <w:rsid w:val="002E7A32"/>
    <w:rsid w:val="002F4B67"/>
    <w:rsid w:val="00301BBF"/>
    <w:rsid w:val="00335868"/>
    <w:rsid w:val="0033790B"/>
    <w:rsid w:val="00346269"/>
    <w:rsid w:val="003473AE"/>
    <w:rsid w:val="0035325C"/>
    <w:rsid w:val="00355AB4"/>
    <w:rsid w:val="00364CF5"/>
    <w:rsid w:val="0037117A"/>
    <w:rsid w:val="00372380"/>
    <w:rsid w:val="003751DE"/>
    <w:rsid w:val="00391727"/>
    <w:rsid w:val="003A6569"/>
    <w:rsid w:val="003A79DE"/>
    <w:rsid w:val="003B70F4"/>
    <w:rsid w:val="003C624E"/>
    <w:rsid w:val="003D757C"/>
    <w:rsid w:val="003E6D7B"/>
    <w:rsid w:val="003F7F61"/>
    <w:rsid w:val="00425998"/>
    <w:rsid w:val="00430C09"/>
    <w:rsid w:val="004338E5"/>
    <w:rsid w:val="0044188F"/>
    <w:rsid w:val="00442876"/>
    <w:rsid w:val="00446219"/>
    <w:rsid w:val="00446937"/>
    <w:rsid w:val="00450D06"/>
    <w:rsid w:val="00466A7E"/>
    <w:rsid w:val="00471A44"/>
    <w:rsid w:val="00480CBB"/>
    <w:rsid w:val="00482C25"/>
    <w:rsid w:val="00490B3E"/>
    <w:rsid w:val="00495B36"/>
    <w:rsid w:val="004A0DDC"/>
    <w:rsid w:val="004A249F"/>
    <w:rsid w:val="004C24DE"/>
    <w:rsid w:val="004C4472"/>
    <w:rsid w:val="00504D01"/>
    <w:rsid w:val="0052127A"/>
    <w:rsid w:val="00523880"/>
    <w:rsid w:val="00527F04"/>
    <w:rsid w:val="00535AB8"/>
    <w:rsid w:val="005537D8"/>
    <w:rsid w:val="00556E5B"/>
    <w:rsid w:val="00563DB7"/>
    <w:rsid w:val="0057052A"/>
    <w:rsid w:val="005763B7"/>
    <w:rsid w:val="005814A6"/>
    <w:rsid w:val="00591C18"/>
    <w:rsid w:val="00595B1D"/>
    <w:rsid w:val="005A04F7"/>
    <w:rsid w:val="005A2580"/>
    <w:rsid w:val="005A5BBA"/>
    <w:rsid w:val="005C070A"/>
    <w:rsid w:val="005C727E"/>
    <w:rsid w:val="005D1EF1"/>
    <w:rsid w:val="005D4E7B"/>
    <w:rsid w:val="005D5252"/>
    <w:rsid w:val="005E159E"/>
    <w:rsid w:val="005E5ACC"/>
    <w:rsid w:val="005F3696"/>
    <w:rsid w:val="005F4D65"/>
    <w:rsid w:val="005F78F7"/>
    <w:rsid w:val="00602E36"/>
    <w:rsid w:val="00610728"/>
    <w:rsid w:val="006173A9"/>
    <w:rsid w:val="00626CD1"/>
    <w:rsid w:val="0064075B"/>
    <w:rsid w:val="006413DF"/>
    <w:rsid w:val="0064270C"/>
    <w:rsid w:val="00666AAB"/>
    <w:rsid w:val="00666F4B"/>
    <w:rsid w:val="0067497B"/>
    <w:rsid w:val="00681C8C"/>
    <w:rsid w:val="00682DC0"/>
    <w:rsid w:val="006A7123"/>
    <w:rsid w:val="006C1535"/>
    <w:rsid w:val="006C6D4B"/>
    <w:rsid w:val="006D1343"/>
    <w:rsid w:val="006D5E30"/>
    <w:rsid w:val="006D7F5A"/>
    <w:rsid w:val="00707459"/>
    <w:rsid w:val="00711517"/>
    <w:rsid w:val="00720C15"/>
    <w:rsid w:val="00736213"/>
    <w:rsid w:val="00743501"/>
    <w:rsid w:val="00745E01"/>
    <w:rsid w:val="00756413"/>
    <w:rsid w:val="00765E87"/>
    <w:rsid w:val="007751A2"/>
    <w:rsid w:val="00780A47"/>
    <w:rsid w:val="00785B8C"/>
    <w:rsid w:val="00785DD1"/>
    <w:rsid w:val="007865D9"/>
    <w:rsid w:val="007C3634"/>
    <w:rsid w:val="007D1AAE"/>
    <w:rsid w:val="007E133D"/>
    <w:rsid w:val="007E201D"/>
    <w:rsid w:val="007F32CF"/>
    <w:rsid w:val="007F769B"/>
    <w:rsid w:val="00814754"/>
    <w:rsid w:val="00816E22"/>
    <w:rsid w:val="0086787C"/>
    <w:rsid w:val="008763F0"/>
    <w:rsid w:val="008A0F61"/>
    <w:rsid w:val="008A168D"/>
    <w:rsid w:val="008A1BD5"/>
    <w:rsid w:val="008A6996"/>
    <w:rsid w:val="008B2B52"/>
    <w:rsid w:val="008B4D04"/>
    <w:rsid w:val="008B5320"/>
    <w:rsid w:val="008B6462"/>
    <w:rsid w:val="008C10D0"/>
    <w:rsid w:val="008D20C7"/>
    <w:rsid w:val="008D3E48"/>
    <w:rsid w:val="008E7C44"/>
    <w:rsid w:val="008F1E59"/>
    <w:rsid w:val="00927C6C"/>
    <w:rsid w:val="009359AA"/>
    <w:rsid w:val="009615FE"/>
    <w:rsid w:val="00961E4D"/>
    <w:rsid w:val="009807B4"/>
    <w:rsid w:val="0098106F"/>
    <w:rsid w:val="00982384"/>
    <w:rsid w:val="00984AC2"/>
    <w:rsid w:val="009864F9"/>
    <w:rsid w:val="00995D91"/>
    <w:rsid w:val="00996603"/>
    <w:rsid w:val="009A46E1"/>
    <w:rsid w:val="009B4A0A"/>
    <w:rsid w:val="009D4C83"/>
    <w:rsid w:val="009E3B47"/>
    <w:rsid w:val="009E630D"/>
    <w:rsid w:val="00A0382B"/>
    <w:rsid w:val="00A24ED0"/>
    <w:rsid w:val="00A2680C"/>
    <w:rsid w:val="00A314F6"/>
    <w:rsid w:val="00A32685"/>
    <w:rsid w:val="00A43898"/>
    <w:rsid w:val="00A62B58"/>
    <w:rsid w:val="00A62E56"/>
    <w:rsid w:val="00A72814"/>
    <w:rsid w:val="00A769F3"/>
    <w:rsid w:val="00A84C97"/>
    <w:rsid w:val="00A87CEB"/>
    <w:rsid w:val="00A93636"/>
    <w:rsid w:val="00A95257"/>
    <w:rsid w:val="00A95ECB"/>
    <w:rsid w:val="00AA77F7"/>
    <w:rsid w:val="00AB7B47"/>
    <w:rsid w:val="00AD01F4"/>
    <w:rsid w:val="00AD3B8D"/>
    <w:rsid w:val="00AD7E48"/>
    <w:rsid w:val="00AE522B"/>
    <w:rsid w:val="00AE69C2"/>
    <w:rsid w:val="00AF0530"/>
    <w:rsid w:val="00AF314A"/>
    <w:rsid w:val="00AF356A"/>
    <w:rsid w:val="00B008DF"/>
    <w:rsid w:val="00B06E59"/>
    <w:rsid w:val="00B11D0E"/>
    <w:rsid w:val="00B159C0"/>
    <w:rsid w:val="00B178D4"/>
    <w:rsid w:val="00B312CF"/>
    <w:rsid w:val="00B41BB0"/>
    <w:rsid w:val="00B422D3"/>
    <w:rsid w:val="00B546C8"/>
    <w:rsid w:val="00B562FA"/>
    <w:rsid w:val="00B57607"/>
    <w:rsid w:val="00B57C23"/>
    <w:rsid w:val="00B7445F"/>
    <w:rsid w:val="00B77902"/>
    <w:rsid w:val="00B851FC"/>
    <w:rsid w:val="00BB3DAC"/>
    <w:rsid w:val="00BC6EC6"/>
    <w:rsid w:val="00BD7C57"/>
    <w:rsid w:val="00BD7CA4"/>
    <w:rsid w:val="00BE01E8"/>
    <w:rsid w:val="00BF3AF0"/>
    <w:rsid w:val="00BF6FFA"/>
    <w:rsid w:val="00C3473A"/>
    <w:rsid w:val="00C3506D"/>
    <w:rsid w:val="00C5598D"/>
    <w:rsid w:val="00C5657F"/>
    <w:rsid w:val="00C81C30"/>
    <w:rsid w:val="00C8524E"/>
    <w:rsid w:val="00C86992"/>
    <w:rsid w:val="00C87B62"/>
    <w:rsid w:val="00C94BF7"/>
    <w:rsid w:val="00CA0845"/>
    <w:rsid w:val="00CB6644"/>
    <w:rsid w:val="00CC1AD7"/>
    <w:rsid w:val="00CC3CDA"/>
    <w:rsid w:val="00CE0398"/>
    <w:rsid w:val="00D11444"/>
    <w:rsid w:val="00D31495"/>
    <w:rsid w:val="00D41407"/>
    <w:rsid w:val="00D45DE4"/>
    <w:rsid w:val="00D55622"/>
    <w:rsid w:val="00D704CD"/>
    <w:rsid w:val="00D75DFF"/>
    <w:rsid w:val="00DA0BFA"/>
    <w:rsid w:val="00DA3DD2"/>
    <w:rsid w:val="00DA5010"/>
    <w:rsid w:val="00DB0560"/>
    <w:rsid w:val="00DB4877"/>
    <w:rsid w:val="00DD2D3D"/>
    <w:rsid w:val="00DD6252"/>
    <w:rsid w:val="00DE04A0"/>
    <w:rsid w:val="00DE52A3"/>
    <w:rsid w:val="00DF1BE0"/>
    <w:rsid w:val="00DF2ADD"/>
    <w:rsid w:val="00E067D1"/>
    <w:rsid w:val="00E16549"/>
    <w:rsid w:val="00E2314A"/>
    <w:rsid w:val="00E24B27"/>
    <w:rsid w:val="00E311E7"/>
    <w:rsid w:val="00E330E8"/>
    <w:rsid w:val="00E34294"/>
    <w:rsid w:val="00E37E2C"/>
    <w:rsid w:val="00E520BA"/>
    <w:rsid w:val="00E555A5"/>
    <w:rsid w:val="00E600E5"/>
    <w:rsid w:val="00E611DD"/>
    <w:rsid w:val="00E62D19"/>
    <w:rsid w:val="00E657F3"/>
    <w:rsid w:val="00E71CD2"/>
    <w:rsid w:val="00E82894"/>
    <w:rsid w:val="00E84B9D"/>
    <w:rsid w:val="00E864E4"/>
    <w:rsid w:val="00EA13D7"/>
    <w:rsid w:val="00EA2579"/>
    <w:rsid w:val="00EA30AC"/>
    <w:rsid w:val="00EA5DBA"/>
    <w:rsid w:val="00EB2B54"/>
    <w:rsid w:val="00ED4F12"/>
    <w:rsid w:val="00EE008B"/>
    <w:rsid w:val="00EF7713"/>
    <w:rsid w:val="00F04DF8"/>
    <w:rsid w:val="00F1405E"/>
    <w:rsid w:val="00F3337D"/>
    <w:rsid w:val="00F36928"/>
    <w:rsid w:val="00F37AAC"/>
    <w:rsid w:val="00F56FEF"/>
    <w:rsid w:val="00F76E34"/>
    <w:rsid w:val="00F774FD"/>
    <w:rsid w:val="00F855F1"/>
    <w:rsid w:val="00F91990"/>
    <w:rsid w:val="00FB0DBB"/>
    <w:rsid w:val="00FB0DF4"/>
    <w:rsid w:val="00FB3B8C"/>
    <w:rsid w:val="00FB5D47"/>
    <w:rsid w:val="00FC0814"/>
    <w:rsid w:val="00FC3647"/>
    <w:rsid w:val="00FC4710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4905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B11D0E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customStyle="1" w:styleId="ng-star-inserted">
    <w:name w:val="ng-star-inserted"/>
    <w:basedOn w:val="Normal"/>
    <w:rsid w:val="00A93636"/>
    <w:pPr>
      <w:spacing w:before="100" w:beforeAutospacing="1" w:after="100" w:afterAutospacing="1"/>
    </w:pPr>
    <w:rPr>
      <w:rFonts w:ascii="Times New Roman" w:hAnsi="Times New Roman"/>
      <w:spacing w:val="0"/>
      <w:szCs w:val="24"/>
      <w:lang w:eastAsia="en-GB"/>
    </w:rPr>
  </w:style>
  <w:style w:type="character" w:customStyle="1" w:styleId="ng-star-inserted1">
    <w:name w:val="ng-star-inserted1"/>
    <w:basedOn w:val="DefaultParagraphFont"/>
    <w:rsid w:val="00A93636"/>
  </w:style>
  <w:style w:type="paragraph" w:styleId="NormalWeb">
    <w:name w:val="Normal (Web)"/>
    <w:basedOn w:val="Normal"/>
    <w:uiPriority w:val="99"/>
    <w:semiHidden/>
    <w:unhideWhenUsed/>
    <w:rsid w:val="00286E9B"/>
    <w:pPr>
      <w:spacing w:before="100" w:beforeAutospacing="1" w:after="100" w:afterAutospacing="1"/>
    </w:pPr>
    <w:rPr>
      <w:rFonts w:ascii="Times New Roman" w:hAnsi="Times New Roman"/>
      <w:spacing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8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9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6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3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3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1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9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1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3AD19-12A6-486A-9434-986ECB44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2024-11-22T15:57:00Z</cp:lastPrinted>
  <dcterms:created xsi:type="dcterms:W3CDTF">2025-11-18T07:29:00Z</dcterms:created>
  <dcterms:modified xsi:type="dcterms:W3CDTF">2025-11-18T07:29:00Z</dcterms:modified>
</cp:coreProperties>
</file>