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3DEBE" w14:textId="77777777" w:rsidR="00430C09" w:rsidRPr="004228A3" w:rsidRDefault="00430C09" w:rsidP="00013979">
      <w:pPr>
        <w:pStyle w:val="Title"/>
        <w:jc w:val="left"/>
        <w:rPr>
          <w:rFonts w:ascii="Arial" w:hAnsi="Arial" w:cs="Arial"/>
        </w:rPr>
      </w:pPr>
      <w:r w:rsidRPr="00D61D63">
        <w:rPr>
          <w:rFonts w:ascii="Arial" w:hAnsi="Arial" w:cs="Arial"/>
          <w:sz w:val="36"/>
          <w:szCs w:val="36"/>
        </w:rPr>
        <w:t xml:space="preserve">NHS </w:t>
      </w:r>
      <w:r w:rsidR="00DD6252" w:rsidRPr="00D61D63">
        <w:rPr>
          <w:rFonts w:ascii="Arial" w:hAnsi="Arial" w:cs="Arial"/>
          <w:sz w:val="36"/>
          <w:szCs w:val="36"/>
        </w:rPr>
        <w:t>Golden Jubilee</w:t>
      </w:r>
      <w:r w:rsidR="00DD6252" w:rsidRPr="004228A3">
        <w:rPr>
          <w:rFonts w:ascii="Arial" w:hAnsi="Arial" w:cs="Arial"/>
        </w:rPr>
        <w:tab/>
      </w:r>
      <w:r w:rsidR="00DD6252" w:rsidRPr="004228A3">
        <w:rPr>
          <w:rFonts w:ascii="Arial" w:hAnsi="Arial" w:cs="Arial"/>
        </w:rPr>
        <w:tab/>
      </w:r>
      <w:r w:rsidR="00DD6252" w:rsidRPr="004228A3">
        <w:rPr>
          <w:rFonts w:ascii="Arial" w:hAnsi="Arial" w:cs="Arial"/>
        </w:rPr>
        <w:tab/>
      </w:r>
      <w:r w:rsidR="00013979">
        <w:rPr>
          <w:rFonts w:ascii="Arial" w:hAnsi="Arial" w:cs="Arial"/>
        </w:rPr>
        <w:tab/>
      </w:r>
      <w:r w:rsidR="00013979">
        <w:rPr>
          <w:rFonts w:ascii="Arial" w:hAnsi="Arial" w:cs="Arial"/>
        </w:rPr>
        <w:tab/>
      </w:r>
      <w:r w:rsidR="00DD6252" w:rsidRPr="004228A3">
        <w:rPr>
          <w:rFonts w:ascii="Arial" w:hAnsi="Arial" w:cs="Arial"/>
        </w:rPr>
        <w:tab/>
      </w:r>
      <w:r w:rsidR="00DD6252" w:rsidRPr="004228A3">
        <w:rPr>
          <w:rFonts w:ascii="Arial" w:hAnsi="Arial" w:cs="Arial"/>
        </w:rPr>
        <w:tab/>
      </w:r>
      <w:r w:rsidR="00DD6252" w:rsidRPr="004228A3">
        <w:rPr>
          <w:rFonts w:ascii="Arial" w:hAnsi="Arial" w:cs="Arial"/>
          <w:noProof/>
          <w:lang w:eastAsia="en-GB"/>
        </w:rPr>
        <w:t xml:space="preserve"> </w:t>
      </w:r>
      <w:r w:rsidR="00DD6252" w:rsidRPr="004228A3">
        <w:rPr>
          <w:rFonts w:ascii="Arial" w:hAnsi="Arial" w:cs="Arial"/>
          <w:noProof/>
          <w:lang w:eastAsia="en-GB"/>
        </w:rPr>
        <w:drawing>
          <wp:inline distT="0" distB="0" distL="0" distR="0" wp14:anchorId="5B7C7FA5" wp14:editId="5239C338">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7851F73" w14:textId="77777777" w:rsidR="00446219" w:rsidRPr="004228A3" w:rsidRDefault="00446219" w:rsidP="0003098A">
      <w:pPr>
        <w:pStyle w:val="Heading2"/>
        <w:rPr>
          <w:rStyle w:val="Heading3Char"/>
          <w:rFonts w:cs="Arial"/>
          <w:b/>
          <w:highlight w:val="lightGray"/>
        </w:rPr>
      </w:pPr>
    </w:p>
    <w:p w14:paraId="4914655B" w14:textId="3909DAB6" w:rsidR="00C16434" w:rsidRPr="004228A3" w:rsidRDefault="0023473B" w:rsidP="00C16434">
      <w:pPr>
        <w:pStyle w:val="Heading3"/>
        <w:spacing w:line="360" w:lineRule="auto"/>
        <w:ind w:left="4536" w:hanging="4536"/>
        <w:rPr>
          <w:rFonts w:cs="Arial"/>
          <w:highlight w:val="lightGray"/>
        </w:rPr>
      </w:pPr>
      <w:r w:rsidRPr="004228A3">
        <w:rPr>
          <w:rStyle w:val="Heading3Char"/>
          <w:rFonts w:cs="Arial"/>
          <w:b/>
          <w:bCs/>
        </w:rPr>
        <w:t>Meeting:</w:t>
      </w:r>
      <w:r w:rsidR="00430C09" w:rsidRPr="004228A3">
        <w:rPr>
          <w:rFonts w:cs="Arial"/>
        </w:rPr>
        <w:tab/>
      </w:r>
      <w:r w:rsidR="001D53E0">
        <w:rPr>
          <w:rStyle w:val="Heading3Char"/>
          <w:rFonts w:cs="Arial"/>
          <w:b/>
        </w:rPr>
        <w:t>NHS Golden Jubilee Board</w:t>
      </w:r>
    </w:p>
    <w:p w14:paraId="2E812129" w14:textId="0671E287" w:rsidR="00430C09" w:rsidRPr="004228A3" w:rsidRDefault="00430C09" w:rsidP="00C16434">
      <w:pPr>
        <w:pStyle w:val="Heading3"/>
        <w:spacing w:line="360" w:lineRule="auto"/>
        <w:rPr>
          <w:rStyle w:val="Heading3Char"/>
          <w:rFonts w:cs="Arial"/>
          <w:b/>
          <w:bCs/>
          <w:highlight w:val="lightGray"/>
        </w:rPr>
      </w:pPr>
      <w:r w:rsidRPr="004228A3">
        <w:rPr>
          <w:rStyle w:val="Heading3Char"/>
          <w:rFonts w:cs="Arial"/>
          <w:b/>
          <w:bCs/>
        </w:rPr>
        <w:t>Meeting dat</w:t>
      </w:r>
      <w:r w:rsidR="0023473B" w:rsidRPr="004228A3">
        <w:rPr>
          <w:rStyle w:val="Heading3Char"/>
          <w:rFonts w:cs="Arial"/>
          <w:b/>
          <w:bCs/>
        </w:rPr>
        <w:t>e:</w:t>
      </w:r>
      <w:r w:rsidRPr="004228A3">
        <w:rPr>
          <w:rFonts w:cs="Arial"/>
        </w:rPr>
        <w:tab/>
      </w:r>
      <w:r w:rsidR="00C16434" w:rsidRPr="004228A3">
        <w:rPr>
          <w:rFonts w:cs="Arial"/>
        </w:rPr>
        <w:t xml:space="preserve">                                     </w:t>
      </w:r>
      <w:r w:rsidR="001D53E0">
        <w:rPr>
          <w:rFonts w:cs="Arial"/>
        </w:rPr>
        <w:t>27</w:t>
      </w:r>
      <w:r w:rsidR="00013979">
        <w:rPr>
          <w:rFonts w:cs="Arial"/>
        </w:rPr>
        <w:t xml:space="preserve"> </w:t>
      </w:r>
      <w:r w:rsidR="00D61D63">
        <w:rPr>
          <w:rFonts w:cs="Arial"/>
        </w:rPr>
        <w:t>Nov</w:t>
      </w:r>
      <w:r w:rsidR="00013979">
        <w:rPr>
          <w:rFonts w:cs="Arial"/>
        </w:rPr>
        <w:t>ember 2025</w:t>
      </w:r>
    </w:p>
    <w:p w14:paraId="2AE1F837" w14:textId="77777777" w:rsidR="00B77902" w:rsidRPr="004228A3" w:rsidRDefault="00430C09" w:rsidP="00B77902">
      <w:pPr>
        <w:pStyle w:val="Heading3"/>
        <w:spacing w:line="360" w:lineRule="auto"/>
        <w:ind w:left="4536" w:hanging="4536"/>
        <w:rPr>
          <w:rFonts w:cs="Arial"/>
        </w:rPr>
      </w:pPr>
      <w:r w:rsidRPr="004228A3">
        <w:rPr>
          <w:rStyle w:val="Heading3Char"/>
          <w:rFonts w:cs="Arial"/>
          <w:b/>
        </w:rPr>
        <w:t>Title</w:t>
      </w:r>
      <w:r w:rsidR="00AA77F7" w:rsidRPr="004228A3">
        <w:rPr>
          <w:rStyle w:val="Heading3Char"/>
          <w:rFonts w:cs="Arial"/>
          <w:b/>
        </w:rPr>
        <w:t>:</w:t>
      </w:r>
      <w:r w:rsidR="00B77902" w:rsidRPr="004228A3">
        <w:rPr>
          <w:rStyle w:val="Heading3Char"/>
          <w:rFonts w:cs="Arial"/>
          <w:b/>
        </w:rPr>
        <w:tab/>
      </w:r>
      <w:r w:rsidR="00282B81">
        <w:rPr>
          <w:rStyle w:val="Heading3Char"/>
          <w:rFonts w:cs="Arial"/>
          <w:b/>
        </w:rPr>
        <w:t xml:space="preserve">Capital Position </w:t>
      </w:r>
      <w:r w:rsidR="00D61D63">
        <w:rPr>
          <w:rStyle w:val="Heading3Char"/>
          <w:rFonts w:cs="Arial"/>
          <w:b/>
        </w:rPr>
        <w:t>2025/26 (</w:t>
      </w:r>
      <w:r w:rsidR="00282B81">
        <w:rPr>
          <w:rStyle w:val="Heading3Char"/>
          <w:rFonts w:cs="Arial"/>
          <w:b/>
        </w:rPr>
        <w:t>Month 5</w:t>
      </w:r>
      <w:r w:rsidR="00D61D63">
        <w:rPr>
          <w:rStyle w:val="Heading3Char"/>
          <w:rFonts w:cs="Arial"/>
          <w:b/>
        </w:rPr>
        <w:t>)</w:t>
      </w:r>
    </w:p>
    <w:p w14:paraId="39FC130C" w14:textId="77777777" w:rsidR="0003098A" w:rsidRPr="004228A3" w:rsidRDefault="0003098A" w:rsidP="00B77902">
      <w:pPr>
        <w:pStyle w:val="Heading3"/>
        <w:spacing w:line="360" w:lineRule="auto"/>
        <w:ind w:left="4536" w:hanging="4536"/>
        <w:rPr>
          <w:rStyle w:val="Heading3Char"/>
          <w:rFonts w:cs="Arial"/>
          <w:b/>
        </w:rPr>
      </w:pPr>
      <w:r w:rsidRPr="004228A3">
        <w:rPr>
          <w:rStyle w:val="Heading3Char"/>
          <w:rFonts w:cs="Arial"/>
          <w:b/>
        </w:rPr>
        <w:t>R</w:t>
      </w:r>
      <w:r w:rsidR="00430C09" w:rsidRPr="004228A3">
        <w:rPr>
          <w:rStyle w:val="Heading3Char"/>
          <w:rFonts w:cs="Arial"/>
          <w:b/>
        </w:rPr>
        <w:t>esponsible Executive/Non-Executive</w:t>
      </w:r>
      <w:r w:rsidRPr="004228A3">
        <w:rPr>
          <w:rStyle w:val="Heading3Char"/>
          <w:rFonts w:cs="Arial"/>
          <w:b/>
        </w:rPr>
        <w:t xml:space="preserve">: </w:t>
      </w:r>
      <w:r w:rsidR="00B77902" w:rsidRPr="004228A3">
        <w:rPr>
          <w:rStyle w:val="Heading3Char"/>
          <w:rFonts w:cs="Arial"/>
          <w:b/>
        </w:rPr>
        <w:tab/>
      </w:r>
      <w:r w:rsidR="00C16434" w:rsidRPr="004228A3">
        <w:rPr>
          <w:rStyle w:val="Heading3Char"/>
          <w:rFonts w:cs="Arial"/>
          <w:b/>
        </w:rPr>
        <w:t xml:space="preserve">Jonny Gamble, </w:t>
      </w:r>
      <w:r w:rsidR="00D61D63">
        <w:rPr>
          <w:rStyle w:val="Heading3Char"/>
          <w:rFonts w:cs="Arial"/>
          <w:b/>
        </w:rPr>
        <w:t xml:space="preserve">Executive </w:t>
      </w:r>
      <w:r w:rsidR="00C16434" w:rsidRPr="004228A3">
        <w:rPr>
          <w:rStyle w:val="Heading3Char"/>
          <w:rFonts w:cs="Arial"/>
          <w:b/>
        </w:rPr>
        <w:t>Director of Finance</w:t>
      </w:r>
    </w:p>
    <w:p w14:paraId="16738EA0" w14:textId="77777777" w:rsidR="00430C09" w:rsidRPr="004228A3" w:rsidRDefault="00430C09" w:rsidP="00B77902">
      <w:pPr>
        <w:pStyle w:val="Heading3"/>
        <w:spacing w:line="360" w:lineRule="auto"/>
        <w:ind w:left="4536" w:hanging="4536"/>
        <w:rPr>
          <w:rStyle w:val="Heading3Char"/>
          <w:rFonts w:cs="Arial"/>
          <w:b/>
        </w:rPr>
      </w:pPr>
      <w:r w:rsidRPr="004228A3">
        <w:rPr>
          <w:rStyle w:val="Heading3Char"/>
          <w:rFonts w:cs="Arial"/>
          <w:b/>
        </w:rPr>
        <w:t>Report Author</w:t>
      </w:r>
      <w:r w:rsidR="0003098A" w:rsidRPr="004228A3">
        <w:rPr>
          <w:rStyle w:val="Heading3Char"/>
          <w:rFonts w:cs="Arial"/>
          <w:b/>
        </w:rPr>
        <w:t>:</w:t>
      </w:r>
      <w:r w:rsidR="00B77902" w:rsidRPr="004228A3">
        <w:rPr>
          <w:rStyle w:val="Heading3Char"/>
          <w:rFonts w:cs="Arial"/>
          <w:b/>
        </w:rPr>
        <w:tab/>
      </w:r>
      <w:r w:rsidR="00D61D63">
        <w:rPr>
          <w:rStyle w:val="Heading3Char"/>
          <w:rFonts w:cs="Arial"/>
          <w:b/>
        </w:rPr>
        <w:t>Gordon Smith</w:t>
      </w:r>
      <w:r w:rsidR="00C16434" w:rsidRPr="004228A3">
        <w:rPr>
          <w:rStyle w:val="Heading3Char"/>
          <w:rFonts w:cs="Arial"/>
          <w:b/>
        </w:rPr>
        <w:t xml:space="preserve">, </w:t>
      </w:r>
      <w:r w:rsidR="00D61D63">
        <w:rPr>
          <w:rStyle w:val="Heading3Char"/>
          <w:rFonts w:cs="Arial"/>
          <w:b/>
        </w:rPr>
        <w:t>Associate Director of Finance</w:t>
      </w:r>
    </w:p>
    <w:p w14:paraId="6A334CBD" w14:textId="77777777" w:rsidR="00B77902" w:rsidRDefault="00B77902" w:rsidP="00B77902">
      <w:pPr>
        <w:rPr>
          <w:rFonts w:cs="Arial"/>
        </w:rPr>
      </w:pPr>
    </w:p>
    <w:p w14:paraId="78C70A09" w14:textId="77777777" w:rsidR="00FC3781" w:rsidRPr="004228A3" w:rsidRDefault="00FC3781" w:rsidP="00B77902">
      <w:pPr>
        <w:rPr>
          <w:rFonts w:cs="Arial"/>
        </w:rPr>
      </w:pPr>
    </w:p>
    <w:p w14:paraId="4D13ECD7" w14:textId="77777777" w:rsidR="009807B4" w:rsidRDefault="00430C09" w:rsidP="00486B2B">
      <w:pPr>
        <w:pStyle w:val="Heading2"/>
        <w:numPr>
          <w:ilvl w:val="0"/>
          <w:numId w:val="24"/>
        </w:numPr>
        <w:spacing w:line="276" w:lineRule="auto"/>
        <w:rPr>
          <w:rFonts w:cs="Arial"/>
        </w:rPr>
      </w:pPr>
      <w:r w:rsidRPr="004228A3">
        <w:rPr>
          <w:rFonts w:cs="Arial"/>
        </w:rPr>
        <w:t>Purpose</w:t>
      </w:r>
    </w:p>
    <w:p w14:paraId="1071C974" w14:textId="77777777" w:rsidR="00486B2B" w:rsidRPr="00486B2B" w:rsidRDefault="00486B2B" w:rsidP="00486B2B"/>
    <w:p w14:paraId="784A1658" w14:textId="7FCF055E" w:rsidR="009807B4" w:rsidRPr="004228A3" w:rsidRDefault="00430C09" w:rsidP="00BF3AF0">
      <w:pPr>
        <w:pStyle w:val="Heading3"/>
        <w:spacing w:line="276" w:lineRule="auto"/>
        <w:ind w:left="720"/>
        <w:rPr>
          <w:rFonts w:cs="Arial"/>
          <w:lang w:eastAsia="en-GB"/>
        </w:rPr>
      </w:pPr>
      <w:r w:rsidRPr="004228A3">
        <w:rPr>
          <w:rFonts w:cs="Arial"/>
          <w:lang w:eastAsia="en-GB"/>
        </w:rPr>
        <w:t>This</w:t>
      </w:r>
      <w:r w:rsidR="00446219" w:rsidRPr="004228A3">
        <w:rPr>
          <w:rFonts w:cs="Arial"/>
          <w:lang w:eastAsia="en-GB"/>
        </w:rPr>
        <w:t xml:space="preserve"> is presented to </w:t>
      </w:r>
      <w:r w:rsidR="001D53E0">
        <w:rPr>
          <w:rFonts w:cs="Arial"/>
          <w:lang w:eastAsia="en-GB"/>
        </w:rPr>
        <w:t>NHS Golden Jubilee Board</w:t>
      </w:r>
      <w:r w:rsidR="00446219" w:rsidRPr="004228A3">
        <w:rPr>
          <w:rFonts w:cs="Arial"/>
          <w:lang w:eastAsia="en-GB"/>
        </w:rPr>
        <w:t xml:space="preserve"> for: </w:t>
      </w:r>
    </w:p>
    <w:p w14:paraId="4D481871" w14:textId="77777777" w:rsidR="001B792B" w:rsidRPr="00177153" w:rsidRDefault="001B792B" w:rsidP="001B792B">
      <w:pPr>
        <w:pStyle w:val="Heading3"/>
        <w:numPr>
          <w:ilvl w:val="0"/>
          <w:numId w:val="9"/>
        </w:numPr>
        <w:spacing w:line="276" w:lineRule="auto"/>
        <w:ind w:left="1080"/>
        <w:rPr>
          <w:b w:val="0"/>
          <w:lang w:eastAsia="en-GB"/>
        </w:rPr>
      </w:pPr>
      <w:r>
        <w:rPr>
          <w:b w:val="0"/>
          <w:lang w:eastAsia="en-GB"/>
        </w:rPr>
        <w:t>Decision</w:t>
      </w:r>
    </w:p>
    <w:p w14:paraId="61DE853C" w14:textId="77777777" w:rsidR="00430C09" w:rsidRPr="004228A3" w:rsidRDefault="00430C09" w:rsidP="00BF3AF0">
      <w:pPr>
        <w:autoSpaceDE w:val="0"/>
        <w:autoSpaceDN w:val="0"/>
        <w:adjustRightInd w:val="0"/>
        <w:spacing w:before="40" w:after="40" w:line="276" w:lineRule="auto"/>
        <w:ind w:left="720"/>
        <w:rPr>
          <w:rFonts w:cs="Arial"/>
          <w:color w:val="000000"/>
          <w:szCs w:val="24"/>
          <w:lang w:eastAsia="en-GB"/>
        </w:rPr>
      </w:pPr>
    </w:p>
    <w:p w14:paraId="30AA3500" w14:textId="77777777" w:rsidR="00430C09" w:rsidRPr="004228A3" w:rsidRDefault="00430C09" w:rsidP="00BF3AF0">
      <w:pPr>
        <w:pStyle w:val="Heading3"/>
        <w:ind w:left="720"/>
        <w:rPr>
          <w:rFonts w:cs="Arial"/>
          <w:lang w:eastAsia="en-GB"/>
        </w:rPr>
      </w:pPr>
      <w:r w:rsidRPr="004228A3">
        <w:rPr>
          <w:rFonts w:cs="Arial"/>
          <w:lang w:eastAsia="en-GB"/>
        </w:rPr>
        <w:t>This report relates to</w:t>
      </w:r>
      <w:r w:rsidR="00AA77F7" w:rsidRPr="004228A3">
        <w:rPr>
          <w:rFonts w:cs="Arial"/>
          <w:lang w:eastAsia="en-GB"/>
        </w:rPr>
        <w:t xml:space="preserve"> a</w:t>
      </w:r>
      <w:r w:rsidRPr="004228A3">
        <w:rPr>
          <w:rFonts w:cs="Arial"/>
          <w:lang w:eastAsia="en-GB"/>
        </w:rPr>
        <w:t>:</w:t>
      </w:r>
    </w:p>
    <w:p w14:paraId="0CC0118D" w14:textId="77777777" w:rsidR="009807B4" w:rsidRPr="004228A3"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4228A3">
        <w:rPr>
          <w:rFonts w:ascii="Arial" w:hAnsi="Arial" w:cs="Arial"/>
          <w:color w:val="000000"/>
          <w:sz w:val="24"/>
          <w:szCs w:val="24"/>
        </w:rPr>
        <w:t>Annual Operation Plan</w:t>
      </w:r>
    </w:p>
    <w:p w14:paraId="3F6E0BD0" w14:textId="77777777" w:rsidR="009807B4" w:rsidRPr="004228A3"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4228A3">
        <w:rPr>
          <w:rFonts w:ascii="Arial" w:hAnsi="Arial" w:cs="Arial"/>
          <w:color w:val="000000"/>
          <w:sz w:val="24"/>
          <w:szCs w:val="24"/>
        </w:rPr>
        <w:t>NHS Board/</w:t>
      </w:r>
      <w:r w:rsidR="003F7F61" w:rsidRPr="004228A3">
        <w:rPr>
          <w:rFonts w:ascii="Arial" w:hAnsi="Arial" w:cs="Arial"/>
          <w:color w:val="000000"/>
          <w:sz w:val="24"/>
          <w:szCs w:val="24"/>
        </w:rPr>
        <w:t>Integration</w:t>
      </w:r>
      <w:r w:rsidR="00816E22" w:rsidRPr="004228A3">
        <w:rPr>
          <w:rFonts w:ascii="Arial" w:hAnsi="Arial" w:cs="Arial"/>
          <w:color w:val="000000"/>
          <w:sz w:val="24"/>
          <w:szCs w:val="24"/>
        </w:rPr>
        <w:t xml:space="preserve"> </w:t>
      </w:r>
      <w:r w:rsidRPr="004228A3">
        <w:rPr>
          <w:rFonts w:ascii="Arial" w:hAnsi="Arial" w:cs="Arial"/>
          <w:color w:val="000000"/>
          <w:sz w:val="24"/>
          <w:szCs w:val="24"/>
        </w:rPr>
        <w:t>Joint Board Strategy</w:t>
      </w:r>
      <w:r w:rsidR="003F7F61" w:rsidRPr="004228A3">
        <w:rPr>
          <w:rFonts w:ascii="Arial" w:hAnsi="Arial" w:cs="Arial"/>
          <w:color w:val="000000"/>
          <w:sz w:val="24"/>
          <w:szCs w:val="24"/>
        </w:rPr>
        <w:t xml:space="preserve"> or Direction</w:t>
      </w:r>
    </w:p>
    <w:p w14:paraId="7BC8103D" w14:textId="77777777" w:rsidR="00430C09" w:rsidRPr="004228A3" w:rsidRDefault="00430C09" w:rsidP="00BF3AF0">
      <w:pPr>
        <w:autoSpaceDE w:val="0"/>
        <w:autoSpaceDN w:val="0"/>
        <w:adjustRightInd w:val="0"/>
        <w:spacing w:before="40" w:after="40" w:line="276" w:lineRule="auto"/>
        <w:ind w:left="720"/>
        <w:rPr>
          <w:rFonts w:cs="Arial"/>
          <w:color w:val="000000"/>
          <w:szCs w:val="24"/>
          <w:lang w:eastAsia="en-GB"/>
        </w:rPr>
      </w:pPr>
    </w:p>
    <w:p w14:paraId="4523E0A8" w14:textId="77777777" w:rsidR="00430C09" w:rsidRPr="004228A3" w:rsidRDefault="00430C09" w:rsidP="00BF3AF0">
      <w:pPr>
        <w:pStyle w:val="Heading3"/>
        <w:ind w:left="720"/>
        <w:rPr>
          <w:rFonts w:cs="Arial"/>
          <w:lang w:eastAsia="en-GB"/>
        </w:rPr>
      </w:pPr>
      <w:r w:rsidRPr="004228A3">
        <w:rPr>
          <w:rFonts w:cs="Arial"/>
          <w:lang w:eastAsia="en-GB"/>
        </w:rPr>
        <w:t>This aligns to the following</w:t>
      </w:r>
      <w:r w:rsidR="00047714" w:rsidRPr="004228A3">
        <w:rPr>
          <w:rFonts w:cs="Arial"/>
          <w:lang w:eastAsia="en-GB"/>
        </w:rPr>
        <w:t xml:space="preserve"> NHS</w:t>
      </w:r>
      <w:r w:rsidR="00C16434" w:rsidRPr="004228A3">
        <w:rPr>
          <w:rFonts w:cs="Arial"/>
          <w:lang w:eastAsia="en-GB"/>
        </w:rPr>
        <w:t xml:space="preserve"> </w:t>
      </w:r>
      <w:r w:rsidR="00047714" w:rsidRPr="004228A3">
        <w:rPr>
          <w:rFonts w:cs="Arial"/>
          <w:lang w:eastAsia="en-GB"/>
        </w:rPr>
        <w:t>Scotland</w:t>
      </w:r>
      <w:r w:rsidRPr="004228A3">
        <w:rPr>
          <w:rFonts w:cs="Arial"/>
          <w:lang w:eastAsia="en-GB"/>
        </w:rPr>
        <w:t xml:space="preserve"> quality </w:t>
      </w:r>
      <w:r w:rsidR="009807B4" w:rsidRPr="004228A3">
        <w:rPr>
          <w:rFonts w:cs="Arial"/>
          <w:lang w:eastAsia="en-GB"/>
        </w:rPr>
        <w:t>ambition(s)</w:t>
      </w:r>
      <w:r w:rsidRPr="004228A3">
        <w:rPr>
          <w:rFonts w:cs="Arial"/>
          <w:lang w:eastAsia="en-GB"/>
        </w:rPr>
        <w:t>:</w:t>
      </w:r>
    </w:p>
    <w:p w14:paraId="0C6E6779" w14:textId="77777777" w:rsidR="009807B4" w:rsidRPr="004228A3" w:rsidRDefault="00C1643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4228A3">
        <w:rPr>
          <w:rFonts w:ascii="Arial" w:hAnsi="Arial" w:cs="Arial"/>
          <w:color w:val="000000"/>
          <w:sz w:val="24"/>
          <w:szCs w:val="24"/>
        </w:rPr>
        <w:t>Effective</w:t>
      </w:r>
    </w:p>
    <w:p w14:paraId="028449A7" w14:textId="77777777" w:rsidR="00B546C8" w:rsidRPr="004228A3" w:rsidRDefault="00B546C8" w:rsidP="00B546C8">
      <w:pPr>
        <w:autoSpaceDE w:val="0"/>
        <w:autoSpaceDN w:val="0"/>
        <w:adjustRightInd w:val="0"/>
        <w:spacing w:before="40" w:after="40" w:line="276" w:lineRule="auto"/>
        <w:ind w:left="720"/>
        <w:rPr>
          <w:rFonts w:cs="Arial"/>
          <w:color w:val="000000"/>
          <w:szCs w:val="24"/>
          <w:highlight w:val="lightGray"/>
        </w:rPr>
      </w:pPr>
    </w:p>
    <w:p w14:paraId="280A4417" w14:textId="77777777" w:rsidR="00B546C8" w:rsidRPr="004228A3" w:rsidRDefault="00B546C8" w:rsidP="00B546C8">
      <w:pPr>
        <w:autoSpaceDE w:val="0"/>
        <w:autoSpaceDN w:val="0"/>
        <w:adjustRightInd w:val="0"/>
        <w:spacing w:before="40" w:after="40" w:line="276" w:lineRule="auto"/>
        <w:ind w:left="720"/>
        <w:rPr>
          <w:rFonts w:cs="Arial"/>
          <w:b/>
          <w:color w:val="000000"/>
          <w:szCs w:val="24"/>
        </w:rPr>
      </w:pPr>
      <w:r w:rsidRPr="004228A3">
        <w:rPr>
          <w:rFonts w:cs="Arial"/>
          <w:b/>
          <w:color w:val="000000"/>
          <w:szCs w:val="24"/>
        </w:rPr>
        <w:t>This aligns to the following NHSGJ Corporate Objectives:</w:t>
      </w:r>
    </w:p>
    <w:p w14:paraId="2CE2F795" w14:textId="77777777" w:rsidR="00C16434" w:rsidRPr="004228A3" w:rsidRDefault="00C16434" w:rsidP="00C16434">
      <w:pPr>
        <w:pStyle w:val="ListParagraph"/>
        <w:numPr>
          <w:ilvl w:val="1"/>
          <w:numId w:val="8"/>
        </w:numPr>
        <w:autoSpaceDE w:val="0"/>
        <w:autoSpaceDN w:val="0"/>
        <w:adjustRightInd w:val="0"/>
        <w:spacing w:before="40" w:after="40" w:line="276" w:lineRule="auto"/>
        <w:rPr>
          <w:rFonts w:ascii="Arial" w:hAnsi="Arial" w:cs="Arial"/>
          <w:color w:val="000000"/>
          <w:sz w:val="24"/>
          <w:szCs w:val="24"/>
        </w:rPr>
      </w:pPr>
      <w:r w:rsidRPr="004228A3">
        <w:rPr>
          <w:rFonts w:ascii="Arial" w:hAnsi="Arial" w:cs="Arial"/>
          <w:color w:val="000000"/>
          <w:sz w:val="24"/>
          <w:szCs w:val="24"/>
        </w:rPr>
        <w:t>Leadership, Strategy &amp; Risk</w:t>
      </w:r>
    </w:p>
    <w:p w14:paraId="1A40D5B7" w14:textId="77777777" w:rsidR="00C16434" w:rsidRPr="004228A3" w:rsidRDefault="00C16434" w:rsidP="00C16434">
      <w:pPr>
        <w:pStyle w:val="ListParagraph"/>
        <w:numPr>
          <w:ilvl w:val="1"/>
          <w:numId w:val="8"/>
        </w:numPr>
        <w:autoSpaceDE w:val="0"/>
        <w:autoSpaceDN w:val="0"/>
        <w:adjustRightInd w:val="0"/>
        <w:spacing w:before="40" w:after="40" w:line="276" w:lineRule="auto"/>
        <w:rPr>
          <w:rFonts w:ascii="Arial" w:hAnsi="Arial" w:cs="Arial"/>
          <w:color w:val="000000"/>
          <w:sz w:val="24"/>
          <w:szCs w:val="24"/>
        </w:rPr>
      </w:pPr>
      <w:r w:rsidRPr="004228A3">
        <w:rPr>
          <w:rFonts w:ascii="Arial" w:hAnsi="Arial" w:cs="Arial"/>
          <w:color w:val="000000"/>
          <w:sz w:val="24"/>
          <w:szCs w:val="24"/>
        </w:rPr>
        <w:t xml:space="preserve">High Performing Organisation  </w:t>
      </w:r>
    </w:p>
    <w:p w14:paraId="44538501" w14:textId="77777777" w:rsidR="00430C09" w:rsidRPr="004228A3" w:rsidRDefault="00430C09" w:rsidP="009807B4">
      <w:pPr>
        <w:spacing w:line="276" w:lineRule="auto"/>
        <w:rPr>
          <w:rFonts w:cs="Arial"/>
        </w:rPr>
      </w:pPr>
    </w:p>
    <w:p w14:paraId="532241B1" w14:textId="77777777" w:rsidR="00430C09" w:rsidRPr="004228A3" w:rsidRDefault="00C94BF7" w:rsidP="00430C09">
      <w:pPr>
        <w:pStyle w:val="Heading2"/>
        <w:spacing w:line="276" w:lineRule="auto"/>
        <w:rPr>
          <w:rFonts w:cs="Arial"/>
        </w:rPr>
      </w:pPr>
      <w:r w:rsidRPr="004228A3">
        <w:rPr>
          <w:rFonts w:cs="Arial"/>
        </w:rPr>
        <w:t>2</w:t>
      </w:r>
      <w:r w:rsidR="00BF3AF0" w:rsidRPr="004228A3">
        <w:rPr>
          <w:rFonts w:cs="Arial"/>
        </w:rPr>
        <w:tab/>
      </w:r>
      <w:r w:rsidR="00430C09" w:rsidRPr="004228A3">
        <w:rPr>
          <w:rFonts w:cs="Arial"/>
        </w:rPr>
        <w:t>Report summary</w:t>
      </w:r>
      <w:r w:rsidR="00430C09" w:rsidRPr="004228A3">
        <w:rPr>
          <w:rFonts w:cs="Arial"/>
        </w:rPr>
        <w:tab/>
      </w:r>
    </w:p>
    <w:p w14:paraId="643F0455" w14:textId="77777777" w:rsidR="0003098A" w:rsidRPr="004228A3" w:rsidRDefault="0003098A" w:rsidP="00430C09">
      <w:pPr>
        <w:pStyle w:val="Heading3"/>
        <w:spacing w:line="276" w:lineRule="auto"/>
        <w:rPr>
          <w:rFonts w:cs="Arial"/>
        </w:rPr>
      </w:pPr>
    </w:p>
    <w:p w14:paraId="60961355" w14:textId="77777777" w:rsidR="00430C09" w:rsidRPr="004228A3" w:rsidRDefault="00C94BF7" w:rsidP="00BF3AF0">
      <w:pPr>
        <w:pStyle w:val="Heading2"/>
        <w:rPr>
          <w:rFonts w:cs="Arial"/>
        </w:rPr>
      </w:pPr>
      <w:r w:rsidRPr="004228A3">
        <w:rPr>
          <w:rFonts w:cs="Arial"/>
        </w:rPr>
        <w:t>2</w:t>
      </w:r>
      <w:r w:rsidR="00BF3AF0" w:rsidRPr="004228A3">
        <w:rPr>
          <w:rFonts w:cs="Arial"/>
        </w:rPr>
        <w:t>.1</w:t>
      </w:r>
      <w:r w:rsidR="00BF3AF0" w:rsidRPr="004228A3">
        <w:rPr>
          <w:rFonts w:cs="Arial"/>
        </w:rPr>
        <w:tab/>
      </w:r>
      <w:r w:rsidR="00430C09" w:rsidRPr="004228A3">
        <w:rPr>
          <w:rFonts w:cs="Arial"/>
        </w:rPr>
        <w:t>Situation</w:t>
      </w:r>
    </w:p>
    <w:p w14:paraId="787097A4" w14:textId="77777777" w:rsidR="00DD30DF" w:rsidRPr="004228A3" w:rsidRDefault="00DD30DF" w:rsidP="001D53E0">
      <w:pPr>
        <w:autoSpaceDE w:val="0"/>
        <w:autoSpaceDN w:val="0"/>
        <w:adjustRightInd w:val="0"/>
        <w:ind w:left="686"/>
        <w:rPr>
          <w:rFonts w:eastAsiaTheme="minorHAnsi" w:cs="Arial"/>
          <w:spacing w:val="0"/>
          <w:szCs w:val="24"/>
        </w:rPr>
      </w:pPr>
      <w:r w:rsidRPr="004228A3">
        <w:rPr>
          <w:rFonts w:cs="Arial"/>
        </w:rPr>
        <w:t xml:space="preserve">The purpose of this paper is to provide an update on the allocation of </w:t>
      </w:r>
      <w:r>
        <w:rPr>
          <w:rFonts w:cs="Arial"/>
        </w:rPr>
        <w:t>20</w:t>
      </w:r>
      <w:r w:rsidRPr="004228A3">
        <w:rPr>
          <w:rFonts w:cs="Arial"/>
        </w:rPr>
        <w:t>25/26 capital funding</w:t>
      </w:r>
      <w:r w:rsidR="007928ED">
        <w:rPr>
          <w:rFonts w:cs="Arial"/>
        </w:rPr>
        <w:t xml:space="preserve"> </w:t>
      </w:r>
      <w:r w:rsidR="00505DA4">
        <w:rPr>
          <w:rFonts w:cs="Arial"/>
        </w:rPr>
        <w:t>alongside</w:t>
      </w:r>
      <w:r w:rsidR="007928ED">
        <w:rPr>
          <w:rFonts w:cs="Arial"/>
        </w:rPr>
        <w:t xml:space="preserve"> the year to date expenditure and forecast expenditure against this allocation</w:t>
      </w:r>
      <w:r w:rsidRPr="004228A3">
        <w:rPr>
          <w:rFonts w:cs="Arial"/>
        </w:rPr>
        <w:t xml:space="preserve">. </w:t>
      </w:r>
      <w:r w:rsidR="007928ED">
        <w:rPr>
          <w:rFonts w:cs="Arial"/>
        </w:rPr>
        <w:t>The Committee is asked to confirm that it has assurance on the capital expenditure plan for 2025/26.</w:t>
      </w:r>
    </w:p>
    <w:p w14:paraId="127660C6" w14:textId="77777777" w:rsidR="00DD30DF" w:rsidRDefault="00DD30DF" w:rsidP="00881491">
      <w:pPr>
        <w:autoSpaceDE w:val="0"/>
        <w:autoSpaceDN w:val="0"/>
        <w:adjustRightInd w:val="0"/>
        <w:ind w:left="686"/>
        <w:rPr>
          <w:rFonts w:cs="Arial"/>
        </w:rPr>
      </w:pPr>
    </w:p>
    <w:p w14:paraId="626B3883" w14:textId="77777777" w:rsidR="00430C09" w:rsidRPr="004228A3" w:rsidRDefault="00C87B62" w:rsidP="00BF3AF0">
      <w:pPr>
        <w:pStyle w:val="Heading2"/>
        <w:ind w:left="686" w:hanging="686"/>
        <w:rPr>
          <w:rFonts w:cs="Arial"/>
        </w:rPr>
      </w:pPr>
      <w:r w:rsidRPr="004228A3">
        <w:rPr>
          <w:rFonts w:cs="Arial"/>
        </w:rPr>
        <w:t>2</w:t>
      </w:r>
      <w:r w:rsidR="00BF3AF0" w:rsidRPr="004228A3">
        <w:rPr>
          <w:rFonts w:cs="Arial"/>
        </w:rPr>
        <w:t>.2</w:t>
      </w:r>
      <w:r w:rsidR="00BF3AF0" w:rsidRPr="004228A3">
        <w:rPr>
          <w:rFonts w:cs="Arial"/>
        </w:rPr>
        <w:tab/>
      </w:r>
      <w:r w:rsidR="00430C09" w:rsidRPr="004228A3">
        <w:rPr>
          <w:rFonts w:cs="Arial"/>
        </w:rPr>
        <w:t>Background</w:t>
      </w:r>
    </w:p>
    <w:p w14:paraId="4663D65A" w14:textId="77777777" w:rsidR="00DD30DF" w:rsidRDefault="00DD30DF" w:rsidP="001D53E0">
      <w:pPr>
        <w:autoSpaceDE w:val="0"/>
        <w:autoSpaceDN w:val="0"/>
        <w:adjustRightInd w:val="0"/>
        <w:ind w:left="686"/>
        <w:rPr>
          <w:rFonts w:eastAsiaTheme="minorHAnsi" w:cs="Arial"/>
          <w:spacing w:val="0"/>
          <w:szCs w:val="24"/>
        </w:rPr>
      </w:pPr>
      <w:r w:rsidRPr="004228A3">
        <w:rPr>
          <w:rFonts w:eastAsiaTheme="minorHAnsi" w:cs="Arial"/>
          <w:spacing w:val="0"/>
          <w:szCs w:val="24"/>
        </w:rPr>
        <w:t>The 4 December 2024 Budget Letter from Scottish Government (SG) informed Boards</w:t>
      </w:r>
      <w:r w:rsidR="00FC6F00">
        <w:rPr>
          <w:rFonts w:eastAsiaTheme="minorHAnsi" w:cs="Arial"/>
          <w:spacing w:val="0"/>
          <w:szCs w:val="24"/>
        </w:rPr>
        <w:t xml:space="preserve"> of a </w:t>
      </w:r>
      <w:r w:rsidRPr="004228A3">
        <w:rPr>
          <w:rFonts w:eastAsiaTheme="minorHAnsi" w:cs="Arial"/>
          <w:spacing w:val="0"/>
          <w:szCs w:val="24"/>
        </w:rPr>
        <w:t xml:space="preserve">formula capital increase </w:t>
      </w:r>
      <w:r w:rsidR="00FC6F00">
        <w:rPr>
          <w:rFonts w:eastAsiaTheme="minorHAnsi" w:cs="Arial"/>
          <w:spacing w:val="0"/>
          <w:szCs w:val="24"/>
        </w:rPr>
        <w:t xml:space="preserve">of </w:t>
      </w:r>
      <w:r w:rsidRPr="004228A3">
        <w:rPr>
          <w:rFonts w:eastAsiaTheme="minorHAnsi" w:cs="Arial"/>
          <w:spacing w:val="0"/>
          <w:szCs w:val="24"/>
        </w:rPr>
        <w:t xml:space="preserve">5% in </w:t>
      </w:r>
      <w:r>
        <w:rPr>
          <w:rFonts w:eastAsiaTheme="minorHAnsi" w:cs="Arial"/>
          <w:spacing w:val="0"/>
          <w:szCs w:val="24"/>
        </w:rPr>
        <w:t>2025/26. This equates to £2.8</w:t>
      </w:r>
      <w:r w:rsidRPr="004228A3">
        <w:rPr>
          <w:rFonts w:eastAsiaTheme="minorHAnsi" w:cs="Arial"/>
          <w:spacing w:val="0"/>
          <w:szCs w:val="24"/>
        </w:rPr>
        <w:t>2</w:t>
      </w:r>
      <w:r>
        <w:rPr>
          <w:rFonts w:eastAsiaTheme="minorHAnsi" w:cs="Arial"/>
          <w:spacing w:val="0"/>
          <w:szCs w:val="24"/>
        </w:rPr>
        <w:t>6</w:t>
      </w:r>
      <w:r w:rsidRPr="004228A3">
        <w:rPr>
          <w:rFonts w:eastAsiaTheme="minorHAnsi" w:cs="Arial"/>
          <w:spacing w:val="0"/>
          <w:szCs w:val="24"/>
        </w:rPr>
        <w:t xml:space="preserve">m for NHSGJ. As noted in the SG Directors’ Letter of December 2023, this formula capital should be directed towards maintenance of the existing estate, essential equipment and digital replacement. It is not intended for significant new infrastructure investments. </w:t>
      </w:r>
    </w:p>
    <w:p w14:paraId="7F230F96" w14:textId="77777777" w:rsidR="00330F00" w:rsidRDefault="00330F00" w:rsidP="001D53E0">
      <w:pPr>
        <w:autoSpaceDE w:val="0"/>
        <w:autoSpaceDN w:val="0"/>
        <w:adjustRightInd w:val="0"/>
        <w:ind w:left="686"/>
        <w:rPr>
          <w:rFonts w:eastAsiaTheme="minorHAnsi" w:cs="Arial"/>
          <w:spacing w:val="0"/>
          <w:szCs w:val="24"/>
        </w:rPr>
      </w:pPr>
    </w:p>
    <w:p w14:paraId="7F19E5F9" w14:textId="77777777" w:rsidR="00DD30DF" w:rsidRDefault="00330F00" w:rsidP="001D53E0">
      <w:pPr>
        <w:autoSpaceDE w:val="0"/>
        <w:autoSpaceDN w:val="0"/>
        <w:adjustRightInd w:val="0"/>
        <w:ind w:left="686"/>
        <w:rPr>
          <w:rFonts w:eastAsiaTheme="minorHAnsi" w:cs="Arial"/>
          <w:spacing w:val="0"/>
          <w:szCs w:val="24"/>
        </w:rPr>
      </w:pPr>
      <w:r>
        <w:rPr>
          <w:rFonts w:eastAsiaTheme="minorHAnsi" w:cs="Arial"/>
          <w:spacing w:val="0"/>
          <w:szCs w:val="24"/>
        </w:rPr>
        <w:lastRenderedPageBreak/>
        <w:t xml:space="preserve">As the Committee are aware the Formula Capital is a part of the total Capital Plan for 2025/26.  The below table sets out the capital funding plan approved by the Committee. </w:t>
      </w:r>
    </w:p>
    <w:p w14:paraId="1F9884A9" w14:textId="77777777" w:rsidR="00330F00" w:rsidRPr="004228A3" w:rsidRDefault="00330F00" w:rsidP="00DD30DF">
      <w:pPr>
        <w:autoSpaceDE w:val="0"/>
        <w:autoSpaceDN w:val="0"/>
        <w:adjustRightInd w:val="0"/>
        <w:ind w:left="686"/>
        <w:jc w:val="both"/>
        <w:rPr>
          <w:rFonts w:eastAsiaTheme="minorHAnsi" w:cs="Arial"/>
          <w:b/>
          <w:spacing w:val="0"/>
          <w:szCs w:val="24"/>
        </w:rPr>
      </w:pPr>
    </w:p>
    <w:p w14:paraId="3925FCF8" w14:textId="77777777" w:rsidR="00DD30DF" w:rsidRPr="004228A3" w:rsidRDefault="00DD30DF" w:rsidP="00DD30DF">
      <w:pPr>
        <w:autoSpaceDE w:val="0"/>
        <w:autoSpaceDN w:val="0"/>
        <w:adjustRightInd w:val="0"/>
        <w:ind w:left="686"/>
        <w:jc w:val="both"/>
        <w:rPr>
          <w:rFonts w:eastAsiaTheme="minorHAnsi" w:cs="Arial"/>
          <w:b/>
          <w:spacing w:val="0"/>
          <w:szCs w:val="24"/>
        </w:rPr>
      </w:pPr>
      <w:r w:rsidRPr="004228A3">
        <w:rPr>
          <w:rFonts w:eastAsiaTheme="minorHAnsi" w:cs="Arial"/>
          <w:b/>
          <w:spacing w:val="0"/>
          <w:szCs w:val="24"/>
        </w:rPr>
        <w:t xml:space="preserve">The </w:t>
      </w:r>
      <w:r>
        <w:rPr>
          <w:rFonts w:eastAsiaTheme="minorHAnsi" w:cs="Arial"/>
          <w:b/>
          <w:spacing w:val="0"/>
          <w:szCs w:val="24"/>
        </w:rPr>
        <w:t>baseline</w:t>
      </w:r>
      <w:r w:rsidRPr="004228A3">
        <w:rPr>
          <w:rFonts w:eastAsiaTheme="minorHAnsi" w:cs="Arial"/>
          <w:b/>
          <w:spacing w:val="0"/>
          <w:szCs w:val="24"/>
        </w:rPr>
        <w:t xml:space="preserve"> budget for </w:t>
      </w:r>
      <w:r>
        <w:rPr>
          <w:rFonts w:eastAsiaTheme="minorHAnsi" w:cs="Arial"/>
          <w:b/>
          <w:spacing w:val="0"/>
          <w:szCs w:val="24"/>
        </w:rPr>
        <w:t>the 20</w:t>
      </w:r>
      <w:r w:rsidRPr="004228A3">
        <w:rPr>
          <w:rFonts w:eastAsiaTheme="minorHAnsi" w:cs="Arial"/>
          <w:b/>
          <w:spacing w:val="0"/>
          <w:szCs w:val="24"/>
        </w:rPr>
        <w:t>25/26 capital programme</w:t>
      </w:r>
      <w:r>
        <w:rPr>
          <w:rFonts w:eastAsiaTheme="minorHAnsi" w:cs="Arial"/>
          <w:b/>
          <w:spacing w:val="0"/>
          <w:szCs w:val="24"/>
        </w:rPr>
        <w:t xml:space="preserve"> was</w:t>
      </w:r>
      <w:r w:rsidRPr="004228A3">
        <w:rPr>
          <w:rFonts w:eastAsiaTheme="minorHAnsi" w:cs="Arial"/>
          <w:b/>
          <w:spacing w:val="0"/>
          <w:szCs w:val="24"/>
        </w:rPr>
        <w:t xml:space="preserve"> c</w:t>
      </w:r>
      <w:r w:rsidR="00FC6F00" w:rsidRPr="004228A3">
        <w:rPr>
          <w:rFonts w:eastAsiaTheme="minorHAnsi" w:cs="Arial"/>
          <w:b/>
          <w:spacing w:val="0"/>
          <w:szCs w:val="24"/>
        </w:rPr>
        <w:t>. £</w:t>
      </w:r>
      <w:r w:rsidRPr="004228A3">
        <w:rPr>
          <w:rFonts w:eastAsiaTheme="minorHAnsi" w:cs="Arial"/>
          <w:b/>
          <w:spacing w:val="0"/>
          <w:szCs w:val="24"/>
        </w:rPr>
        <w:t>19.2m</w:t>
      </w:r>
      <w:r>
        <w:rPr>
          <w:rFonts w:eastAsiaTheme="minorHAnsi" w:cs="Arial"/>
          <w:b/>
          <w:spacing w:val="0"/>
          <w:szCs w:val="24"/>
        </w:rPr>
        <w:t>.</w:t>
      </w:r>
    </w:p>
    <w:p w14:paraId="01668B11" w14:textId="77777777" w:rsidR="00DD30DF" w:rsidRDefault="00DD30DF" w:rsidP="00881491">
      <w:pPr>
        <w:autoSpaceDE w:val="0"/>
        <w:autoSpaceDN w:val="0"/>
        <w:adjustRightInd w:val="0"/>
        <w:ind w:left="686"/>
        <w:rPr>
          <w:rFonts w:eastAsiaTheme="minorHAnsi" w:cs="Arial"/>
          <w:spacing w:val="0"/>
          <w:szCs w:val="24"/>
        </w:rPr>
      </w:pPr>
    </w:p>
    <w:tbl>
      <w:tblPr>
        <w:tblW w:w="6064" w:type="dxa"/>
        <w:tblInd w:w="707" w:type="dxa"/>
        <w:tblLook w:val="04A0" w:firstRow="1" w:lastRow="0" w:firstColumn="1" w:lastColumn="0" w:noHBand="0" w:noVBand="1"/>
      </w:tblPr>
      <w:tblGrid>
        <w:gridCol w:w="4560"/>
        <w:gridCol w:w="1504"/>
      </w:tblGrid>
      <w:tr w:rsidR="00DD30DF" w:rsidRPr="004228A3" w14:paraId="393A170C" w14:textId="77777777" w:rsidTr="003F3E97">
        <w:trPr>
          <w:trHeight w:val="600"/>
        </w:trPr>
        <w:tc>
          <w:tcPr>
            <w:tcW w:w="4560" w:type="dxa"/>
            <w:tcBorders>
              <w:top w:val="single" w:sz="4" w:space="0" w:color="auto"/>
              <w:left w:val="single" w:sz="4" w:space="0" w:color="auto"/>
              <w:bottom w:val="single" w:sz="4" w:space="0" w:color="auto"/>
              <w:right w:val="single" w:sz="4" w:space="0" w:color="auto"/>
            </w:tcBorders>
            <w:vAlign w:val="center"/>
            <w:hideMark/>
          </w:tcPr>
          <w:p w14:paraId="55F1BDE7" w14:textId="77777777" w:rsidR="00DD30DF" w:rsidRPr="004228A3" w:rsidRDefault="00DD30DF" w:rsidP="00DD30DF">
            <w:pPr>
              <w:rPr>
                <w:rFonts w:cs="Arial"/>
                <w:b/>
                <w:bCs/>
                <w:color w:val="000000"/>
                <w:spacing w:val="0"/>
                <w:sz w:val="22"/>
                <w:szCs w:val="22"/>
                <w:lang w:eastAsia="en-GB"/>
              </w:rPr>
            </w:pPr>
            <w:r w:rsidRPr="004228A3">
              <w:rPr>
                <w:rFonts w:cs="Arial"/>
                <w:b/>
                <w:bCs/>
                <w:color w:val="000000"/>
                <w:spacing w:val="0"/>
                <w:sz w:val="22"/>
                <w:szCs w:val="22"/>
                <w:lang w:eastAsia="en-GB"/>
              </w:rPr>
              <w:t>FUNDING</w:t>
            </w:r>
          </w:p>
        </w:tc>
        <w:tc>
          <w:tcPr>
            <w:tcW w:w="1504" w:type="dxa"/>
            <w:tcBorders>
              <w:top w:val="single" w:sz="4" w:space="0" w:color="auto"/>
              <w:left w:val="nil"/>
              <w:bottom w:val="single" w:sz="4" w:space="0" w:color="auto"/>
              <w:right w:val="single" w:sz="4" w:space="0" w:color="auto"/>
            </w:tcBorders>
            <w:vAlign w:val="center"/>
            <w:hideMark/>
          </w:tcPr>
          <w:p w14:paraId="360F1FA3" w14:textId="77777777" w:rsidR="00DD30DF" w:rsidRDefault="00DD30DF" w:rsidP="003F3E97">
            <w:pPr>
              <w:jc w:val="center"/>
              <w:rPr>
                <w:rFonts w:cs="Arial"/>
                <w:b/>
                <w:bCs/>
                <w:color w:val="000000"/>
                <w:spacing w:val="0"/>
                <w:sz w:val="22"/>
                <w:szCs w:val="22"/>
                <w:lang w:eastAsia="en-GB"/>
              </w:rPr>
            </w:pPr>
            <w:r w:rsidRPr="004228A3">
              <w:rPr>
                <w:rFonts w:cs="Arial"/>
                <w:b/>
                <w:bCs/>
                <w:color w:val="000000"/>
                <w:spacing w:val="0"/>
                <w:sz w:val="22"/>
                <w:szCs w:val="22"/>
                <w:lang w:eastAsia="en-GB"/>
              </w:rPr>
              <w:t>Baseline Funding</w:t>
            </w:r>
          </w:p>
          <w:p w14:paraId="7D3D718D" w14:textId="77777777" w:rsidR="00DD30DF" w:rsidRPr="004228A3" w:rsidRDefault="00DD30DF" w:rsidP="003F3E97">
            <w:pPr>
              <w:jc w:val="center"/>
              <w:rPr>
                <w:rFonts w:cs="Arial"/>
                <w:b/>
                <w:bCs/>
                <w:color w:val="000000"/>
                <w:spacing w:val="0"/>
                <w:sz w:val="22"/>
                <w:szCs w:val="22"/>
                <w:lang w:eastAsia="en-GB"/>
              </w:rPr>
            </w:pPr>
            <w:r>
              <w:rPr>
                <w:rFonts w:cs="Arial"/>
                <w:b/>
                <w:bCs/>
                <w:color w:val="000000"/>
                <w:spacing w:val="0"/>
                <w:sz w:val="22"/>
                <w:szCs w:val="22"/>
                <w:lang w:eastAsia="en-GB"/>
              </w:rPr>
              <w:t>£</w:t>
            </w:r>
          </w:p>
        </w:tc>
      </w:tr>
      <w:tr w:rsidR="00DD30DF" w:rsidRPr="004228A3" w14:paraId="31B0F65C" w14:textId="77777777" w:rsidTr="00DD30DF">
        <w:trPr>
          <w:trHeight w:val="219"/>
        </w:trPr>
        <w:tc>
          <w:tcPr>
            <w:tcW w:w="4560" w:type="dxa"/>
            <w:tcBorders>
              <w:top w:val="nil"/>
              <w:left w:val="single" w:sz="4" w:space="0" w:color="auto"/>
              <w:bottom w:val="single" w:sz="4" w:space="0" w:color="auto"/>
              <w:right w:val="single" w:sz="4" w:space="0" w:color="auto"/>
            </w:tcBorders>
            <w:vAlign w:val="center"/>
            <w:hideMark/>
          </w:tcPr>
          <w:p w14:paraId="049305B3" w14:textId="77777777" w:rsidR="00DD30DF" w:rsidRPr="004228A3" w:rsidRDefault="00DD30DF" w:rsidP="003F3E97">
            <w:pPr>
              <w:rPr>
                <w:rFonts w:cs="Arial"/>
                <w:color w:val="000000"/>
                <w:spacing w:val="0"/>
                <w:sz w:val="22"/>
                <w:szCs w:val="22"/>
                <w:lang w:eastAsia="en-GB"/>
              </w:rPr>
            </w:pPr>
            <w:r w:rsidRPr="004228A3">
              <w:rPr>
                <w:rFonts w:cs="Arial"/>
                <w:color w:val="000000"/>
                <w:spacing w:val="0"/>
                <w:sz w:val="22"/>
                <w:szCs w:val="22"/>
                <w:lang w:eastAsia="en-GB"/>
              </w:rPr>
              <w:t>Phase 2 Hospital Expansion</w:t>
            </w:r>
          </w:p>
        </w:tc>
        <w:tc>
          <w:tcPr>
            <w:tcW w:w="1504" w:type="dxa"/>
            <w:tcBorders>
              <w:top w:val="nil"/>
              <w:left w:val="nil"/>
              <w:bottom w:val="single" w:sz="4" w:space="0" w:color="auto"/>
              <w:right w:val="single" w:sz="4" w:space="0" w:color="auto"/>
            </w:tcBorders>
            <w:vAlign w:val="center"/>
            <w:hideMark/>
          </w:tcPr>
          <w:p w14:paraId="174E4B71" w14:textId="77777777" w:rsidR="00DD30DF" w:rsidRPr="004228A3" w:rsidRDefault="00DD30DF" w:rsidP="00DD30DF">
            <w:pPr>
              <w:jc w:val="right"/>
              <w:rPr>
                <w:rFonts w:cs="Arial"/>
                <w:color w:val="000000"/>
                <w:spacing w:val="0"/>
                <w:sz w:val="22"/>
                <w:szCs w:val="22"/>
                <w:lang w:eastAsia="en-GB"/>
              </w:rPr>
            </w:pPr>
            <w:r>
              <w:rPr>
                <w:rFonts w:cs="Arial"/>
                <w:color w:val="000000"/>
                <w:spacing w:val="0"/>
                <w:sz w:val="22"/>
                <w:szCs w:val="22"/>
                <w:lang w:eastAsia="en-GB"/>
              </w:rPr>
              <w:t>11,500,000</w:t>
            </w:r>
          </w:p>
        </w:tc>
      </w:tr>
      <w:tr w:rsidR="00DD30DF" w:rsidRPr="004228A3" w14:paraId="49F733AE" w14:textId="77777777" w:rsidTr="00DD30DF">
        <w:trPr>
          <w:trHeight w:val="269"/>
        </w:trPr>
        <w:tc>
          <w:tcPr>
            <w:tcW w:w="4560" w:type="dxa"/>
            <w:tcBorders>
              <w:top w:val="nil"/>
              <w:left w:val="single" w:sz="4" w:space="0" w:color="auto"/>
              <w:bottom w:val="single" w:sz="4" w:space="0" w:color="auto"/>
              <w:right w:val="single" w:sz="4" w:space="0" w:color="auto"/>
            </w:tcBorders>
            <w:noWrap/>
            <w:vAlign w:val="bottom"/>
            <w:hideMark/>
          </w:tcPr>
          <w:p w14:paraId="6CE7E5C3" w14:textId="77777777" w:rsidR="00DD30DF" w:rsidRPr="004228A3" w:rsidRDefault="00DD30DF" w:rsidP="003F3E97">
            <w:pPr>
              <w:rPr>
                <w:rFonts w:cs="Arial"/>
                <w:color w:val="000000"/>
                <w:spacing w:val="0"/>
                <w:sz w:val="22"/>
                <w:szCs w:val="22"/>
                <w:lang w:eastAsia="en-GB"/>
              </w:rPr>
            </w:pPr>
            <w:r w:rsidRPr="004228A3">
              <w:rPr>
                <w:rFonts w:cs="Arial"/>
                <w:color w:val="000000"/>
                <w:spacing w:val="0"/>
                <w:sz w:val="22"/>
                <w:szCs w:val="22"/>
                <w:lang w:eastAsia="en-GB"/>
              </w:rPr>
              <w:t>Formula Capital (inc</w:t>
            </w:r>
            <w:r>
              <w:rPr>
                <w:rFonts w:cs="Arial"/>
                <w:color w:val="000000"/>
                <w:spacing w:val="0"/>
                <w:sz w:val="22"/>
                <w:szCs w:val="22"/>
                <w:lang w:eastAsia="en-GB"/>
              </w:rPr>
              <w:t>l.</w:t>
            </w:r>
            <w:r w:rsidRPr="004228A3">
              <w:rPr>
                <w:rFonts w:cs="Arial"/>
                <w:color w:val="000000"/>
                <w:spacing w:val="0"/>
                <w:sz w:val="22"/>
                <w:szCs w:val="22"/>
                <w:lang w:eastAsia="en-GB"/>
              </w:rPr>
              <w:t xml:space="preserve"> 5% Uplift)</w:t>
            </w:r>
          </w:p>
        </w:tc>
        <w:tc>
          <w:tcPr>
            <w:tcW w:w="1504" w:type="dxa"/>
            <w:tcBorders>
              <w:top w:val="nil"/>
              <w:left w:val="nil"/>
              <w:bottom w:val="single" w:sz="4" w:space="0" w:color="auto"/>
              <w:right w:val="single" w:sz="4" w:space="0" w:color="auto"/>
            </w:tcBorders>
            <w:noWrap/>
            <w:hideMark/>
          </w:tcPr>
          <w:p w14:paraId="1766487A" w14:textId="77777777" w:rsidR="00DD30DF" w:rsidRPr="004228A3" w:rsidRDefault="00DD30DF" w:rsidP="00DD30DF">
            <w:pPr>
              <w:jc w:val="right"/>
              <w:rPr>
                <w:rFonts w:cs="Arial"/>
                <w:color w:val="000000"/>
                <w:spacing w:val="0"/>
                <w:sz w:val="22"/>
                <w:szCs w:val="22"/>
                <w:lang w:eastAsia="en-GB"/>
              </w:rPr>
            </w:pPr>
            <w:r w:rsidRPr="004228A3">
              <w:rPr>
                <w:rFonts w:cs="Arial"/>
                <w:color w:val="000000"/>
                <w:spacing w:val="0"/>
                <w:sz w:val="22"/>
                <w:szCs w:val="22"/>
                <w:lang w:eastAsia="en-GB"/>
              </w:rPr>
              <w:t>2,826,000</w:t>
            </w:r>
          </w:p>
        </w:tc>
      </w:tr>
      <w:tr w:rsidR="00DD30DF" w:rsidRPr="004228A3" w14:paraId="284EB993" w14:textId="77777777" w:rsidTr="00DD30DF">
        <w:trPr>
          <w:trHeight w:val="241"/>
        </w:trPr>
        <w:tc>
          <w:tcPr>
            <w:tcW w:w="4560" w:type="dxa"/>
            <w:tcBorders>
              <w:top w:val="nil"/>
              <w:left w:val="single" w:sz="4" w:space="0" w:color="auto"/>
              <w:bottom w:val="single" w:sz="4" w:space="0" w:color="auto"/>
              <w:right w:val="single" w:sz="4" w:space="0" w:color="auto"/>
            </w:tcBorders>
            <w:noWrap/>
            <w:vAlign w:val="bottom"/>
            <w:hideMark/>
          </w:tcPr>
          <w:p w14:paraId="2B867F5E" w14:textId="77777777" w:rsidR="00DD30DF" w:rsidRPr="004228A3" w:rsidRDefault="00DD30DF" w:rsidP="003F3E97">
            <w:pPr>
              <w:rPr>
                <w:rFonts w:cs="Arial"/>
                <w:color w:val="000000"/>
                <w:spacing w:val="0"/>
                <w:sz w:val="22"/>
                <w:szCs w:val="22"/>
                <w:lang w:eastAsia="en-GB"/>
              </w:rPr>
            </w:pPr>
            <w:r>
              <w:rPr>
                <w:rFonts w:cs="Arial"/>
                <w:color w:val="000000"/>
                <w:spacing w:val="0"/>
                <w:sz w:val="22"/>
                <w:szCs w:val="22"/>
                <w:lang w:eastAsia="en-GB"/>
              </w:rPr>
              <w:t>20</w:t>
            </w:r>
            <w:r w:rsidRPr="004228A3">
              <w:rPr>
                <w:rFonts w:cs="Arial"/>
                <w:color w:val="000000"/>
                <w:spacing w:val="0"/>
                <w:sz w:val="22"/>
                <w:szCs w:val="22"/>
                <w:lang w:eastAsia="en-GB"/>
              </w:rPr>
              <w:t xml:space="preserve">24/25 Agreed Carry forward </w:t>
            </w:r>
          </w:p>
        </w:tc>
        <w:tc>
          <w:tcPr>
            <w:tcW w:w="1504" w:type="dxa"/>
            <w:tcBorders>
              <w:top w:val="nil"/>
              <w:left w:val="nil"/>
              <w:bottom w:val="single" w:sz="4" w:space="0" w:color="auto"/>
              <w:right w:val="single" w:sz="4" w:space="0" w:color="auto"/>
            </w:tcBorders>
            <w:noWrap/>
            <w:hideMark/>
          </w:tcPr>
          <w:p w14:paraId="61D0F4DD" w14:textId="77777777" w:rsidR="00DD30DF" w:rsidRPr="004228A3" w:rsidRDefault="00DD30DF" w:rsidP="00DD30DF">
            <w:pPr>
              <w:jc w:val="right"/>
              <w:rPr>
                <w:rFonts w:cs="Arial"/>
                <w:color w:val="000000"/>
                <w:spacing w:val="0"/>
                <w:sz w:val="22"/>
                <w:szCs w:val="22"/>
                <w:lang w:eastAsia="en-GB"/>
              </w:rPr>
            </w:pPr>
            <w:r w:rsidRPr="004228A3">
              <w:rPr>
                <w:rFonts w:cs="Arial"/>
                <w:color w:val="000000"/>
                <w:spacing w:val="0"/>
                <w:sz w:val="22"/>
                <w:szCs w:val="22"/>
                <w:lang w:eastAsia="en-GB"/>
              </w:rPr>
              <w:t>961,000</w:t>
            </w:r>
          </w:p>
        </w:tc>
      </w:tr>
      <w:tr w:rsidR="00DD30DF" w:rsidRPr="004228A3" w14:paraId="48366810" w14:textId="77777777" w:rsidTr="00DD30DF">
        <w:trPr>
          <w:trHeight w:val="273"/>
        </w:trPr>
        <w:tc>
          <w:tcPr>
            <w:tcW w:w="4560" w:type="dxa"/>
            <w:tcBorders>
              <w:top w:val="nil"/>
              <w:left w:val="single" w:sz="4" w:space="0" w:color="auto"/>
              <w:bottom w:val="single" w:sz="4" w:space="0" w:color="auto"/>
              <w:right w:val="single" w:sz="4" w:space="0" w:color="auto"/>
            </w:tcBorders>
            <w:noWrap/>
            <w:vAlign w:val="bottom"/>
            <w:hideMark/>
          </w:tcPr>
          <w:p w14:paraId="6F31F678" w14:textId="77777777" w:rsidR="00DD30DF" w:rsidRPr="004228A3" w:rsidRDefault="00DD30DF" w:rsidP="003F3E97">
            <w:pPr>
              <w:rPr>
                <w:rFonts w:cs="Arial"/>
                <w:color w:val="000000"/>
                <w:spacing w:val="0"/>
                <w:sz w:val="22"/>
                <w:szCs w:val="22"/>
                <w:lang w:eastAsia="en-GB"/>
              </w:rPr>
            </w:pPr>
            <w:r w:rsidRPr="004228A3">
              <w:rPr>
                <w:rFonts w:cs="Arial"/>
                <w:color w:val="000000"/>
                <w:spacing w:val="0"/>
                <w:sz w:val="22"/>
                <w:szCs w:val="22"/>
                <w:lang w:eastAsia="en-GB"/>
              </w:rPr>
              <w:t>National Infrastructure Board Funding</w:t>
            </w:r>
          </w:p>
        </w:tc>
        <w:tc>
          <w:tcPr>
            <w:tcW w:w="1504" w:type="dxa"/>
            <w:tcBorders>
              <w:top w:val="nil"/>
              <w:left w:val="nil"/>
              <w:bottom w:val="single" w:sz="4" w:space="0" w:color="auto"/>
              <w:right w:val="single" w:sz="4" w:space="0" w:color="auto"/>
            </w:tcBorders>
            <w:noWrap/>
            <w:hideMark/>
          </w:tcPr>
          <w:p w14:paraId="6AC95107" w14:textId="77777777" w:rsidR="00DD30DF" w:rsidRPr="004228A3" w:rsidRDefault="00DD30DF" w:rsidP="00DD30DF">
            <w:pPr>
              <w:jc w:val="right"/>
              <w:rPr>
                <w:rFonts w:cs="Arial"/>
                <w:color w:val="000000"/>
                <w:spacing w:val="0"/>
                <w:sz w:val="22"/>
                <w:szCs w:val="22"/>
                <w:lang w:eastAsia="en-GB"/>
              </w:rPr>
            </w:pPr>
            <w:r w:rsidRPr="004228A3">
              <w:rPr>
                <w:rFonts w:cs="Arial"/>
                <w:color w:val="000000"/>
                <w:spacing w:val="0"/>
                <w:sz w:val="22"/>
                <w:szCs w:val="22"/>
                <w:lang w:eastAsia="en-GB"/>
              </w:rPr>
              <w:t>1,000,000</w:t>
            </w:r>
          </w:p>
        </w:tc>
      </w:tr>
      <w:tr w:rsidR="00DD30DF" w:rsidRPr="004228A3" w14:paraId="7EB44E5D" w14:textId="77777777" w:rsidTr="00DD30DF">
        <w:trPr>
          <w:trHeight w:val="264"/>
        </w:trPr>
        <w:tc>
          <w:tcPr>
            <w:tcW w:w="4560" w:type="dxa"/>
            <w:tcBorders>
              <w:top w:val="nil"/>
              <w:left w:val="single" w:sz="4" w:space="0" w:color="auto"/>
              <w:bottom w:val="single" w:sz="4" w:space="0" w:color="auto"/>
              <w:right w:val="single" w:sz="4" w:space="0" w:color="auto"/>
            </w:tcBorders>
            <w:noWrap/>
            <w:vAlign w:val="bottom"/>
            <w:hideMark/>
          </w:tcPr>
          <w:p w14:paraId="6A4304A7" w14:textId="77777777" w:rsidR="00DD30DF" w:rsidRPr="004228A3" w:rsidRDefault="00DD30DF" w:rsidP="003F3E97">
            <w:pPr>
              <w:rPr>
                <w:rFonts w:cs="Arial"/>
                <w:color w:val="000000"/>
                <w:spacing w:val="0"/>
                <w:sz w:val="22"/>
                <w:szCs w:val="22"/>
                <w:lang w:eastAsia="en-GB"/>
              </w:rPr>
            </w:pPr>
            <w:r w:rsidRPr="004228A3">
              <w:rPr>
                <w:rFonts w:cs="Arial"/>
                <w:color w:val="000000"/>
                <w:spacing w:val="0"/>
                <w:sz w:val="22"/>
                <w:szCs w:val="22"/>
                <w:lang w:eastAsia="en-GB"/>
              </w:rPr>
              <w:t>Business Continuity Project</w:t>
            </w:r>
          </w:p>
        </w:tc>
        <w:tc>
          <w:tcPr>
            <w:tcW w:w="1504" w:type="dxa"/>
            <w:tcBorders>
              <w:top w:val="nil"/>
              <w:left w:val="nil"/>
              <w:bottom w:val="single" w:sz="4" w:space="0" w:color="auto"/>
              <w:right w:val="single" w:sz="4" w:space="0" w:color="auto"/>
            </w:tcBorders>
            <w:noWrap/>
            <w:hideMark/>
          </w:tcPr>
          <w:p w14:paraId="28166884" w14:textId="77777777" w:rsidR="00DD30DF" w:rsidRPr="004228A3" w:rsidRDefault="00DD30DF" w:rsidP="00DD30DF">
            <w:pPr>
              <w:jc w:val="right"/>
              <w:rPr>
                <w:rFonts w:cs="Arial"/>
                <w:color w:val="000000"/>
                <w:spacing w:val="0"/>
                <w:sz w:val="22"/>
                <w:szCs w:val="22"/>
                <w:lang w:eastAsia="en-GB"/>
              </w:rPr>
            </w:pPr>
            <w:r w:rsidRPr="004228A3">
              <w:rPr>
                <w:rFonts w:cs="Arial"/>
                <w:color w:val="000000"/>
                <w:spacing w:val="0"/>
                <w:sz w:val="22"/>
                <w:szCs w:val="22"/>
                <w:lang w:eastAsia="en-GB"/>
              </w:rPr>
              <w:t>740,000</w:t>
            </w:r>
          </w:p>
        </w:tc>
      </w:tr>
      <w:tr w:rsidR="00DD30DF" w:rsidRPr="004228A3" w14:paraId="41903A5A" w14:textId="77777777" w:rsidTr="00DD30DF">
        <w:trPr>
          <w:trHeight w:val="281"/>
        </w:trPr>
        <w:tc>
          <w:tcPr>
            <w:tcW w:w="4560" w:type="dxa"/>
            <w:tcBorders>
              <w:top w:val="nil"/>
              <w:left w:val="single" w:sz="4" w:space="0" w:color="auto"/>
              <w:bottom w:val="single" w:sz="4" w:space="0" w:color="auto"/>
              <w:right w:val="single" w:sz="4" w:space="0" w:color="auto"/>
            </w:tcBorders>
            <w:noWrap/>
            <w:vAlign w:val="bottom"/>
            <w:hideMark/>
          </w:tcPr>
          <w:p w14:paraId="662F51C0" w14:textId="77777777" w:rsidR="00DD30DF" w:rsidRPr="004228A3" w:rsidRDefault="00DD30DF" w:rsidP="003F3E97">
            <w:pPr>
              <w:rPr>
                <w:rFonts w:cs="Arial"/>
                <w:color w:val="000000"/>
                <w:spacing w:val="0"/>
                <w:sz w:val="22"/>
                <w:szCs w:val="22"/>
                <w:lang w:eastAsia="en-GB"/>
              </w:rPr>
            </w:pPr>
            <w:r w:rsidRPr="004228A3">
              <w:rPr>
                <w:rFonts w:cs="Arial"/>
                <w:color w:val="000000"/>
                <w:spacing w:val="0"/>
                <w:sz w:val="22"/>
                <w:szCs w:val="22"/>
                <w:lang w:eastAsia="en-GB"/>
              </w:rPr>
              <w:t>CT Scanner (Turnkey Works)</w:t>
            </w:r>
          </w:p>
        </w:tc>
        <w:tc>
          <w:tcPr>
            <w:tcW w:w="1504" w:type="dxa"/>
            <w:tcBorders>
              <w:top w:val="nil"/>
              <w:left w:val="nil"/>
              <w:bottom w:val="single" w:sz="4" w:space="0" w:color="auto"/>
              <w:right w:val="single" w:sz="4" w:space="0" w:color="auto"/>
            </w:tcBorders>
            <w:noWrap/>
            <w:hideMark/>
          </w:tcPr>
          <w:p w14:paraId="40601847" w14:textId="77777777" w:rsidR="00DD30DF" w:rsidRPr="004228A3" w:rsidRDefault="00DD30DF" w:rsidP="00DD30DF">
            <w:pPr>
              <w:jc w:val="right"/>
              <w:rPr>
                <w:rFonts w:cs="Arial"/>
                <w:color w:val="000000"/>
                <w:spacing w:val="0"/>
                <w:sz w:val="22"/>
                <w:szCs w:val="22"/>
                <w:lang w:eastAsia="en-GB"/>
              </w:rPr>
            </w:pPr>
            <w:r w:rsidRPr="004228A3">
              <w:rPr>
                <w:rFonts w:cs="Arial"/>
                <w:color w:val="000000"/>
                <w:spacing w:val="0"/>
                <w:sz w:val="22"/>
                <w:szCs w:val="22"/>
                <w:lang w:eastAsia="en-GB"/>
              </w:rPr>
              <w:t>1,000,000</w:t>
            </w:r>
          </w:p>
        </w:tc>
      </w:tr>
      <w:tr w:rsidR="00DD30DF" w:rsidRPr="004228A3" w14:paraId="64329489" w14:textId="77777777" w:rsidTr="00DD30DF">
        <w:trPr>
          <w:trHeight w:val="271"/>
        </w:trPr>
        <w:tc>
          <w:tcPr>
            <w:tcW w:w="4560" w:type="dxa"/>
            <w:tcBorders>
              <w:top w:val="nil"/>
              <w:left w:val="single" w:sz="4" w:space="0" w:color="auto"/>
              <w:bottom w:val="single" w:sz="4" w:space="0" w:color="auto"/>
              <w:right w:val="single" w:sz="4" w:space="0" w:color="auto"/>
            </w:tcBorders>
            <w:noWrap/>
            <w:vAlign w:val="bottom"/>
            <w:hideMark/>
          </w:tcPr>
          <w:p w14:paraId="551B7160" w14:textId="77777777" w:rsidR="00DD30DF" w:rsidRPr="004228A3" w:rsidRDefault="00DD30DF" w:rsidP="003F3E97">
            <w:pPr>
              <w:rPr>
                <w:rFonts w:cs="Arial"/>
                <w:color w:val="000000"/>
                <w:spacing w:val="0"/>
                <w:sz w:val="22"/>
                <w:szCs w:val="22"/>
                <w:lang w:eastAsia="en-GB"/>
              </w:rPr>
            </w:pPr>
            <w:r w:rsidRPr="004228A3">
              <w:rPr>
                <w:rFonts w:cs="Arial"/>
                <w:color w:val="000000"/>
                <w:spacing w:val="0"/>
                <w:sz w:val="22"/>
                <w:szCs w:val="22"/>
                <w:lang w:eastAsia="en-GB"/>
              </w:rPr>
              <w:t>Sustainability</w:t>
            </w:r>
          </w:p>
        </w:tc>
        <w:tc>
          <w:tcPr>
            <w:tcW w:w="1504" w:type="dxa"/>
            <w:tcBorders>
              <w:top w:val="nil"/>
              <w:left w:val="nil"/>
              <w:bottom w:val="single" w:sz="4" w:space="0" w:color="auto"/>
              <w:right w:val="single" w:sz="4" w:space="0" w:color="auto"/>
            </w:tcBorders>
            <w:noWrap/>
            <w:hideMark/>
          </w:tcPr>
          <w:p w14:paraId="18D9522F" w14:textId="77777777" w:rsidR="00DD30DF" w:rsidRPr="004228A3" w:rsidRDefault="00DD30DF" w:rsidP="00DD30DF">
            <w:pPr>
              <w:jc w:val="right"/>
              <w:rPr>
                <w:rFonts w:cs="Arial"/>
                <w:color w:val="000000"/>
                <w:spacing w:val="0"/>
                <w:sz w:val="22"/>
                <w:szCs w:val="22"/>
                <w:lang w:eastAsia="en-GB"/>
              </w:rPr>
            </w:pPr>
            <w:r w:rsidRPr="004228A3">
              <w:rPr>
                <w:rFonts w:cs="Arial"/>
                <w:color w:val="000000"/>
                <w:spacing w:val="0"/>
                <w:sz w:val="22"/>
                <w:szCs w:val="22"/>
                <w:lang w:eastAsia="en-GB"/>
              </w:rPr>
              <w:t>1,165,000</w:t>
            </w:r>
          </w:p>
        </w:tc>
      </w:tr>
      <w:tr w:rsidR="00DD30DF" w:rsidRPr="004228A3" w14:paraId="7DC12ECB" w14:textId="77777777" w:rsidTr="00DD30DF">
        <w:trPr>
          <w:trHeight w:val="261"/>
        </w:trPr>
        <w:tc>
          <w:tcPr>
            <w:tcW w:w="4560" w:type="dxa"/>
            <w:tcBorders>
              <w:top w:val="nil"/>
              <w:left w:val="single" w:sz="4" w:space="0" w:color="auto"/>
              <w:bottom w:val="single" w:sz="4" w:space="0" w:color="auto"/>
              <w:right w:val="single" w:sz="4" w:space="0" w:color="auto"/>
            </w:tcBorders>
            <w:noWrap/>
            <w:vAlign w:val="bottom"/>
            <w:hideMark/>
          </w:tcPr>
          <w:p w14:paraId="03794635" w14:textId="77777777" w:rsidR="00DD30DF" w:rsidRPr="004228A3" w:rsidRDefault="00DD30DF" w:rsidP="003F3E97">
            <w:pPr>
              <w:rPr>
                <w:rFonts w:cs="Arial"/>
                <w:b/>
                <w:bCs/>
                <w:color w:val="000000"/>
                <w:spacing w:val="0"/>
                <w:sz w:val="22"/>
                <w:szCs w:val="22"/>
                <w:lang w:eastAsia="en-GB"/>
              </w:rPr>
            </w:pPr>
            <w:r w:rsidRPr="004228A3">
              <w:rPr>
                <w:rFonts w:cs="Arial"/>
                <w:b/>
                <w:bCs/>
                <w:color w:val="000000"/>
                <w:spacing w:val="0"/>
                <w:sz w:val="22"/>
                <w:szCs w:val="22"/>
                <w:lang w:eastAsia="en-GB"/>
              </w:rPr>
              <w:t>Total Funding</w:t>
            </w:r>
          </w:p>
        </w:tc>
        <w:tc>
          <w:tcPr>
            <w:tcW w:w="1504" w:type="dxa"/>
            <w:tcBorders>
              <w:top w:val="nil"/>
              <w:left w:val="nil"/>
              <w:bottom w:val="single" w:sz="4" w:space="0" w:color="auto"/>
              <w:right w:val="single" w:sz="4" w:space="0" w:color="auto"/>
            </w:tcBorders>
            <w:noWrap/>
            <w:vAlign w:val="bottom"/>
            <w:hideMark/>
          </w:tcPr>
          <w:p w14:paraId="5E870B16" w14:textId="77777777" w:rsidR="00DD30DF" w:rsidRPr="004228A3" w:rsidRDefault="00DD30DF" w:rsidP="00DD30DF">
            <w:pPr>
              <w:jc w:val="right"/>
              <w:rPr>
                <w:rFonts w:cs="Arial"/>
                <w:b/>
                <w:bCs/>
                <w:color w:val="000000"/>
                <w:spacing w:val="0"/>
                <w:sz w:val="22"/>
                <w:szCs w:val="22"/>
                <w:lang w:eastAsia="en-GB"/>
              </w:rPr>
            </w:pPr>
            <w:r w:rsidRPr="004228A3">
              <w:rPr>
                <w:rFonts w:cs="Arial"/>
                <w:b/>
                <w:bCs/>
                <w:color w:val="000000"/>
                <w:spacing w:val="0"/>
                <w:sz w:val="22"/>
                <w:szCs w:val="22"/>
                <w:lang w:eastAsia="en-GB"/>
              </w:rPr>
              <w:t>19,192,000</w:t>
            </w:r>
          </w:p>
        </w:tc>
      </w:tr>
    </w:tbl>
    <w:p w14:paraId="772D1FD9" w14:textId="77777777" w:rsidR="00DD30DF" w:rsidRDefault="00DD30DF" w:rsidP="00881491">
      <w:pPr>
        <w:autoSpaceDE w:val="0"/>
        <w:autoSpaceDN w:val="0"/>
        <w:adjustRightInd w:val="0"/>
        <w:ind w:left="686"/>
        <w:rPr>
          <w:rFonts w:eastAsiaTheme="minorHAnsi" w:cs="Arial"/>
          <w:spacing w:val="0"/>
          <w:szCs w:val="24"/>
        </w:rPr>
      </w:pPr>
    </w:p>
    <w:p w14:paraId="192BBCA6" w14:textId="77777777" w:rsidR="00B15BC4" w:rsidRPr="004228A3" w:rsidRDefault="00B15BC4" w:rsidP="00B15BC4">
      <w:pPr>
        <w:ind w:left="720"/>
        <w:rPr>
          <w:rFonts w:cs="Arial"/>
        </w:rPr>
      </w:pPr>
      <w:r w:rsidRPr="004228A3">
        <w:rPr>
          <w:rFonts w:cs="Arial"/>
        </w:rPr>
        <w:t xml:space="preserve">Following the </w:t>
      </w:r>
      <w:r w:rsidR="00330F00">
        <w:rPr>
          <w:rFonts w:cs="Arial"/>
        </w:rPr>
        <w:t>Finance and Performance Committee in August</w:t>
      </w:r>
      <w:r w:rsidRPr="004228A3">
        <w:rPr>
          <w:rFonts w:cs="Arial"/>
        </w:rPr>
        <w:t xml:space="preserve">, the following capital </w:t>
      </w:r>
      <w:r w:rsidR="00FC6F00">
        <w:rPr>
          <w:rFonts w:cs="Arial"/>
        </w:rPr>
        <w:t xml:space="preserve">plan </w:t>
      </w:r>
      <w:r w:rsidR="00FC6F00" w:rsidRPr="004228A3">
        <w:rPr>
          <w:rFonts w:cs="Arial"/>
        </w:rPr>
        <w:t>was</w:t>
      </w:r>
      <w:r w:rsidRPr="004228A3">
        <w:rPr>
          <w:rFonts w:cs="Arial"/>
        </w:rPr>
        <w:t xml:space="preserve"> approved and funding ha</w:t>
      </w:r>
      <w:r w:rsidR="00E67BEF">
        <w:rPr>
          <w:rFonts w:cs="Arial"/>
        </w:rPr>
        <w:t>d</w:t>
      </w:r>
      <w:r w:rsidRPr="004228A3">
        <w:rPr>
          <w:rFonts w:cs="Arial"/>
        </w:rPr>
        <w:t xml:space="preserve"> been allocated as follows:</w:t>
      </w:r>
    </w:p>
    <w:p w14:paraId="3DF0E6AD" w14:textId="77777777" w:rsidR="00B15BC4" w:rsidRDefault="00B15BC4" w:rsidP="00B15BC4">
      <w:pPr>
        <w:autoSpaceDE w:val="0"/>
        <w:autoSpaceDN w:val="0"/>
        <w:adjustRightInd w:val="0"/>
        <w:ind w:left="686"/>
        <w:jc w:val="both"/>
        <w:rPr>
          <w:rFonts w:eastAsiaTheme="minorHAnsi" w:cs="Arial"/>
          <w:spacing w:val="0"/>
          <w:szCs w:val="24"/>
        </w:rPr>
      </w:pPr>
    </w:p>
    <w:tbl>
      <w:tblPr>
        <w:tblW w:w="6064" w:type="dxa"/>
        <w:tblInd w:w="707" w:type="dxa"/>
        <w:tblLook w:val="04A0" w:firstRow="1" w:lastRow="0" w:firstColumn="1" w:lastColumn="0" w:noHBand="0" w:noVBand="1"/>
      </w:tblPr>
      <w:tblGrid>
        <w:gridCol w:w="4560"/>
        <w:gridCol w:w="1504"/>
      </w:tblGrid>
      <w:tr w:rsidR="00B15BC4" w:rsidRPr="004228A3" w14:paraId="1AD1DEEE" w14:textId="77777777" w:rsidTr="003F3E97">
        <w:trPr>
          <w:trHeight w:val="600"/>
        </w:trPr>
        <w:tc>
          <w:tcPr>
            <w:tcW w:w="4560" w:type="dxa"/>
            <w:tcBorders>
              <w:top w:val="single" w:sz="4" w:space="0" w:color="auto"/>
              <w:left w:val="single" w:sz="4" w:space="0" w:color="auto"/>
              <w:bottom w:val="single" w:sz="4" w:space="0" w:color="auto"/>
              <w:right w:val="single" w:sz="4" w:space="0" w:color="auto"/>
            </w:tcBorders>
            <w:vAlign w:val="center"/>
            <w:hideMark/>
          </w:tcPr>
          <w:p w14:paraId="5DCE416E" w14:textId="77777777" w:rsidR="00B15BC4" w:rsidRPr="004228A3" w:rsidRDefault="00B15BC4" w:rsidP="003F3E97">
            <w:pPr>
              <w:rPr>
                <w:rFonts w:cs="Arial"/>
                <w:b/>
                <w:bCs/>
                <w:color w:val="000000"/>
                <w:spacing w:val="0"/>
                <w:sz w:val="22"/>
                <w:szCs w:val="22"/>
                <w:lang w:eastAsia="en-GB"/>
              </w:rPr>
            </w:pPr>
            <w:r w:rsidRPr="004228A3">
              <w:rPr>
                <w:rFonts w:cs="Arial"/>
                <w:b/>
                <w:bCs/>
                <w:color w:val="000000"/>
                <w:spacing w:val="0"/>
                <w:sz w:val="22"/>
                <w:szCs w:val="22"/>
                <w:lang w:eastAsia="en-GB"/>
              </w:rPr>
              <w:t>FUNDING</w:t>
            </w:r>
            <w:r w:rsidR="00CD4085">
              <w:rPr>
                <w:rFonts w:cs="Arial"/>
                <w:b/>
                <w:bCs/>
                <w:color w:val="000000"/>
                <w:spacing w:val="0"/>
                <w:sz w:val="22"/>
                <w:szCs w:val="22"/>
                <w:lang w:eastAsia="en-GB"/>
              </w:rPr>
              <w:t xml:space="preserve"> ALLOCATED</w:t>
            </w:r>
          </w:p>
        </w:tc>
        <w:tc>
          <w:tcPr>
            <w:tcW w:w="1504" w:type="dxa"/>
            <w:tcBorders>
              <w:top w:val="single" w:sz="4" w:space="0" w:color="auto"/>
              <w:left w:val="nil"/>
              <w:bottom w:val="single" w:sz="4" w:space="0" w:color="auto"/>
              <w:right w:val="single" w:sz="4" w:space="0" w:color="auto"/>
            </w:tcBorders>
            <w:vAlign w:val="center"/>
            <w:hideMark/>
          </w:tcPr>
          <w:p w14:paraId="4CB0F6D8" w14:textId="77777777" w:rsidR="00B15BC4" w:rsidRDefault="00B15BC4" w:rsidP="003F3E97">
            <w:pPr>
              <w:jc w:val="center"/>
              <w:rPr>
                <w:rFonts w:cs="Arial"/>
                <w:b/>
                <w:bCs/>
                <w:color w:val="000000"/>
                <w:spacing w:val="0"/>
                <w:sz w:val="22"/>
                <w:szCs w:val="22"/>
                <w:lang w:eastAsia="en-GB"/>
              </w:rPr>
            </w:pPr>
            <w:r w:rsidRPr="004228A3">
              <w:rPr>
                <w:rFonts w:cs="Arial"/>
                <w:b/>
                <w:bCs/>
                <w:color w:val="000000"/>
                <w:spacing w:val="0"/>
                <w:sz w:val="22"/>
                <w:szCs w:val="22"/>
                <w:lang w:eastAsia="en-GB"/>
              </w:rPr>
              <w:t>Baseline Funding</w:t>
            </w:r>
          </w:p>
          <w:p w14:paraId="3BFAAD29" w14:textId="77777777" w:rsidR="00B15BC4" w:rsidRPr="004228A3" w:rsidRDefault="00B15BC4" w:rsidP="003F3E97">
            <w:pPr>
              <w:jc w:val="center"/>
              <w:rPr>
                <w:rFonts w:cs="Arial"/>
                <w:b/>
                <w:bCs/>
                <w:color w:val="000000"/>
                <w:spacing w:val="0"/>
                <w:sz w:val="22"/>
                <w:szCs w:val="22"/>
                <w:lang w:eastAsia="en-GB"/>
              </w:rPr>
            </w:pPr>
            <w:r>
              <w:rPr>
                <w:rFonts w:cs="Arial"/>
                <w:b/>
                <w:bCs/>
                <w:color w:val="000000"/>
                <w:spacing w:val="0"/>
                <w:sz w:val="22"/>
                <w:szCs w:val="22"/>
                <w:lang w:eastAsia="en-GB"/>
              </w:rPr>
              <w:t>£</w:t>
            </w:r>
          </w:p>
        </w:tc>
      </w:tr>
      <w:tr w:rsidR="00B15BC4" w:rsidRPr="004228A3" w14:paraId="296365BE" w14:textId="77777777" w:rsidTr="003F3E97">
        <w:trPr>
          <w:trHeight w:val="219"/>
        </w:trPr>
        <w:tc>
          <w:tcPr>
            <w:tcW w:w="4560" w:type="dxa"/>
            <w:tcBorders>
              <w:top w:val="nil"/>
              <w:left w:val="single" w:sz="4" w:space="0" w:color="auto"/>
              <w:bottom w:val="single" w:sz="4" w:space="0" w:color="auto"/>
              <w:right w:val="single" w:sz="4" w:space="0" w:color="auto"/>
            </w:tcBorders>
            <w:vAlign w:val="center"/>
            <w:hideMark/>
          </w:tcPr>
          <w:p w14:paraId="00620C8F" w14:textId="77777777" w:rsidR="00B15BC4" w:rsidRPr="004228A3" w:rsidRDefault="00B15BC4" w:rsidP="003F3E97">
            <w:pPr>
              <w:rPr>
                <w:rFonts w:cs="Arial"/>
                <w:color w:val="000000"/>
                <w:spacing w:val="0"/>
                <w:sz w:val="22"/>
                <w:szCs w:val="22"/>
                <w:lang w:eastAsia="en-GB"/>
              </w:rPr>
            </w:pPr>
            <w:r w:rsidRPr="004228A3">
              <w:rPr>
                <w:rFonts w:cs="Arial"/>
                <w:color w:val="000000"/>
                <w:spacing w:val="0"/>
                <w:sz w:val="22"/>
                <w:szCs w:val="22"/>
                <w:lang w:eastAsia="en-GB"/>
              </w:rPr>
              <w:t>Phase 2 Hospital Expansion</w:t>
            </w:r>
          </w:p>
        </w:tc>
        <w:tc>
          <w:tcPr>
            <w:tcW w:w="1504" w:type="dxa"/>
            <w:tcBorders>
              <w:top w:val="nil"/>
              <w:left w:val="nil"/>
              <w:bottom w:val="single" w:sz="4" w:space="0" w:color="auto"/>
              <w:right w:val="single" w:sz="4" w:space="0" w:color="auto"/>
            </w:tcBorders>
            <w:vAlign w:val="center"/>
            <w:hideMark/>
          </w:tcPr>
          <w:p w14:paraId="4C8870FD" w14:textId="77777777" w:rsidR="00B15BC4" w:rsidRPr="004228A3" w:rsidRDefault="00B15BC4" w:rsidP="003F3E97">
            <w:pPr>
              <w:jc w:val="right"/>
              <w:rPr>
                <w:rFonts w:cs="Arial"/>
                <w:color w:val="000000"/>
                <w:spacing w:val="0"/>
                <w:sz w:val="22"/>
                <w:szCs w:val="22"/>
                <w:lang w:eastAsia="en-GB"/>
              </w:rPr>
            </w:pPr>
            <w:r>
              <w:rPr>
                <w:rFonts w:cs="Arial"/>
                <w:color w:val="000000"/>
                <w:spacing w:val="0"/>
                <w:sz w:val="22"/>
                <w:szCs w:val="22"/>
                <w:lang w:eastAsia="en-GB"/>
              </w:rPr>
              <w:t>11,500,000</w:t>
            </w:r>
          </w:p>
        </w:tc>
      </w:tr>
      <w:tr w:rsidR="00B15BC4" w:rsidRPr="004228A3" w14:paraId="0ADD5372" w14:textId="77777777" w:rsidTr="003F3E97">
        <w:trPr>
          <w:trHeight w:val="269"/>
        </w:trPr>
        <w:tc>
          <w:tcPr>
            <w:tcW w:w="4560" w:type="dxa"/>
            <w:tcBorders>
              <w:top w:val="nil"/>
              <w:left w:val="single" w:sz="4" w:space="0" w:color="auto"/>
              <w:bottom w:val="single" w:sz="4" w:space="0" w:color="auto"/>
              <w:right w:val="single" w:sz="4" w:space="0" w:color="auto"/>
            </w:tcBorders>
            <w:noWrap/>
            <w:vAlign w:val="bottom"/>
            <w:hideMark/>
          </w:tcPr>
          <w:p w14:paraId="6542E4FD" w14:textId="77777777" w:rsidR="00B15BC4" w:rsidRPr="004228A3" w:rsidRDefault="00B15BC4" w:rsidP="003F3E97">
            <w:pPr>
              <w:rPr>
                <w:rFonts w:cs="Arial"/>
                <w:color w:val="000000"/>
                <w:spacing w:val="0"/>
                <w:sz w:val="22"/>
                <w:szCs w:val="22"/>
                <w:lang w:eastAsia="en-GB"/>
              </w:rPr>
            </w:pPr>
            <w:r>
              <w:rPr>
                <w:rFonts w:cs="Arial"/>
                <w:color w:val="000000"/>
                <w:spacing w:val="0"/>
                <w:sz w:val="22"/>
                <w:szCs w:val="22"/>
                <w:lang w:eastAsia="en-GB"/>
              </w:rPr>
              <w:t>Estates/BCP/Sustainability</w:t>
            </w:r>
          </w:p>
        </w:tc>
        <w:tc>
          <w:tcPr>
            <w:tcW w:w="1504" w:type="dxa"/>
            <w:tcBorders>
              <w:top w:val="nil"/>
              <w:left w:val="nil"/>
              <w:bottom w:val="single" w:sz="4" w:space="0" w:color="auto"/>
              <w:right w:val="single" w:sz="4" w:space="0" w:color="auto"/>
            </w:tcBorders>
            <w:noWrap/>
            <w:hideMark/>
          </w:tcPr>
          <w:p w14:paraId="5257BC3D" w14:textId="77777777" w:rsidR="00B15BC4" w:rsidRPr="004228A3" w:rsidRDefault="00B15BC4" w:rsidP="003F3E97">
            <w:pPr>
              <w:jc w:val="right"/>
              <w:rPr>
                <w:rFonts w:cs="Arial"/>
                <w:color w:val="000000"/>
                <w:spacing w:val="0"/>
                <w:sz w:val="22"/>
                <w:szCs w:val="22"/>
                <w:lang w:eastAsia="en-GB"/>
              </w:rPr>
            </w:pPr>
            <w:r>
              <w:rPr>
                <w:rFonts w:cs="Arial"/>
                <w:color w:val="000000"/>
                <w:spacing w:val="0"/>
                <w:sz w:val="22"/>
                <w:szCs w:val="22"/>
                <w:lang w:eastAsia="en-GB"/>
              </w:rPr>
              <w:t>4,489,289</w:t>
            </w:r>
          </w:p>
        </w:tc>
      </w:tr>
      <w:tr w:rsidR="00B15BC4" w:rsidRPr="004228A3" w14:paraId="0BDF2727" w14:textId="77777777" w:rsidTr="00B15BC4">
        <w:trPr>
          <w:trHeight w:val="241"/>
        </w:trPr>
        <w:tc>
          <w:tcPr>
            <w:tcW w:w="4560" w:type="dxa"/>
            <w:tcBorders>
              <w:top w:val="nil"/>
              <w:left w:val="single" w:sz="4" w:space="0" w:color="auto"/>
              <w:bottom w:val="single" w:sz="4" w:space="0" w:color="auto"/>
              <w:right w:val="single" w:sz="4" w:space="0" w:color="auto"/>
            </w:tcBorders>
            <w:noWrap/>
            <w:vAlign w:val="bottom"/>
          </w:tcPr>
          <w:p w14:paraId="67D6E360" w14:textId="77777777" w:rsidR="00B15BC4" w:rsidRPr="004228A3" w:rsidRDefault="00B15BC4" w:rsidP="003F3E97">
            <w:pPr>
              <w:rPr>
                <w:rFonts w:cs="Arial"/>
                <w:color w:val="000000"/>
                <w:spacing w:val="0"/>
                <w:sz w:val="22"/>
                <w:szCs w:val="22"/>
                <w:lang w:eastAsia="en-GB"/>
              </w:rPr>
            </w:pPr>
            <w:r>
              <w:rPr>
                <w:rFonts w:cs="Arial"/>
                <w:color w:val="000000"/>
                <w:spacing w:val="0"/>
                <w:sz w:val="22"/>
                <w:szCs w:val="22"/>
                <w:lang w:eastAsia="en-GB"/>
              </w:rPr>
              <w:t>Medical Equipment</w:t>
            </w:r>
          </w:p>
        </w:tc>
        <w:tc>
          <w:tcPr>
            <w:tcW w:w="1504" w:type="dxa"/>
            <w:tcBorders>
              <w:top w:val="nil"/>
              <w:left w:val="nil"/>
              <w:bottom w:val="single" w:sz="4" w:space="0" w:color="auto"/>
              <w:right w:val="single" w:sz="4" w:space="0" w:color="auto"/>
            </w:tcBorders>
            <w:noWrap/>
          </w:tcPr>
          <w:p w14:paraId="39DDC519" w14:textId="77777777" w:rsidR="00B15BC4" w:rsidRPr="004228A3" w:rsidRDefault="00B15BC4" w:rsidP="003F3E97">
            <w:pPr>
              <w:jc w:val="right"/>
              <w:rPr>
                <w:rFonts w:cs="Arial"/>
                <w:color w:val="000000"/>
                <w:spacing w:val="0"/>
                <w:sz w:val="22"/>
                <w:szCs w:val="22"/>
                <w:lang w:eastAsia="en-GB"/>
              </w:rPr>
            </w:pPr>
            <w:r>
              <w:rPr>
                <w:rFonts w:cs="Arial"/>
                <w:color w:val="000000"/>
                <w:spacing w:val="0"/>
                <w:sz w:val="22"/>
                <w:szCs w:val="22"/>
                <w:lang w:eastAsia="en-GB"/>
              </w:rPr>
              <w:t>3,486,511</w:t>
            </w:r>
          </w:p>
        </w:tc>
      </w:tr>
      <w:tr w:rsidR="00B15BC4" w:rsidRPr="004228A3" w14:paraId="0DC5D5B6" w14:textId="77777777" w:rsidTr="00B15BC4">
        <w:trPr>
          <w:trHeight w:val="273"/>
        </w:trPr>
        <w:tc>
          <w:tcPr>
            <w:tcW w:w="4560" w:type="dxa"/>
            <w:tcBorders>
              <w:top w:val="nil"/>
              <w:left w:val="single" w:sz="4" w:space="0" w:color="auto"/>
              <w:bottom w:val="single" w:sz="4" w:space="0" w:color="auto"/>
              <w:right w:val="single" w:sz="4" w:space="0" w:color="auto"/>
            </w:tcBorders>
            <w:noWrap/>
            <w:vAlign w:val="bottom"/>
          </w:tcPr>
          <w:p w14:paraId="0AEDB932" w14:textId="77777777" w:rsidR="00B15BC4" w:rsidRPr="004228A3" w:rsidRDefault="00B15BC4" w:rsidP="003F3E97">
            <w:pPr>
              <w:rPr>
                <w:rFonts w:cs="Arial"/>
                <w:color w:val="000000"/>
                <w:spacing w:val="0"/>
                <w:sz w:val="22"/>
                <w:szCs w:val="22"/>
                <w:lang w:eastAsia="en-GB"/>
              </w:rPr>
            </w:pPr>
            <w:r>
              <w:rPr>
                <w:rFonts w:cs="Arial"/>
                <w:color w:val="000000"/>
                <w:spacing w:val="0"/>
                <w:sz w:val="22"/>
                <w:szCs w:val="22"/>
                <w:lang w:eastAsia="en-GB"/>
              </w:rPr>
              <w:t>Non-Medical Equipment</w:t>
            </w:r>
          </w:p>
        </w:tc>
        <w:tc>
          <w:tcPr>
            <w:tcW w:w="1504" w:type="dxa"/>
            <w:tcBorders>
              <w:top w:val="nil"/>
              <w:left w:val="nil"/>
              <w:bottom w:val="single" w:sz="4" w:space="0" w:color="auto"/>
              <w:right w:val="single" w:sz="4" w:space="0" w:color="auto"/>
            </w:tcBorders>
            <w:noWrap/>
          </w:tcPr>
          <w:p w14:paraId="5CE66537" w14:textId="77777777" w:rsidR="00B15BC4" w:rsidRPr="004228A3" w:rsidRDefault="00B15BC4" w:rsidP="003F3E97">
            <w:pPr>
              <w:jc w:val="right"/>
              <w:rPr>
                <w:rFonts w:cs="Arial"/>
                <w:color w:val="000000"/>
                <w:spacing w:val="0"/>
                <w:sz w:val="22"/>
                <w:szCs w:val="22"/>
                <w:lang w:eastAsia="en-GB"/>
              </w:rPr>
            </w:pPr>
            <w:r>
              <w:rPr>
                <w:rFonts w:cs="Arial"/>
                <w:color w:val="000000"/>
                <w:spacing w:val="0"/>
                <w:sz w:val="22"/>
                <w:szCs w:val="22"/>
                <w:lang w:eastAsia="en-GB"/>
              </w:rPr>
              <w:t>65,633</w:t>
            </w:r>
          </w:p>
        </w:tc>
      </w:tr>
      <w:tr w:rsidR="00B15BC4" w:rsidRPr="00B15BC4" w14:paraId="344A1AA7" w14:textId="77777777" w:rsidTr="00B15BC4">
        <w:trPr>
          <w:trHeight w:val="264"/>
        </w:trPr>
        <w:tc>
          <w:tcPr>
            <w:tcW w:w="4560" w:type="dxa"/>
            <w:tcBorders>
              <w:top w:val="nil"/>
              <w:left w:val="single" w:sz="4" w:space="0" w:color="auto"/>
              <w:bottom w:val="single" w:sz="4" w:space="0" w:color="auto"/>
              <w:right w:val="single" w:sz="4" w:space="0" w:color="auto"/>
            </w:tcBorders>
            <w:noWrap/>
            <w:vAlign w:val="bottom"/>
          </w:tcPr>
          <w:p w14:paraId="79A45BB7" w14:textId="77777777" w:rsidR="00B15BC4" w:rsidRPr="00B15BC4" w:rsidRDefault="00B15BC4" w:rsidP="003F3E97">
            <w:pPr>
              <w:rPr>
                <w:rFonts w:cs="Arial"/>
                <w:b/>
                <w:color w:val="000000"/>
                <w:spacing w:val="0"/>
                <w:sz w:val="22"/>
                <w:szCs w:val="22"/>
                <w:lang w:eastAsia="en-GB"/>
              </w:rPr>
            </w:pPr>
            <w:r w:rsidRPr="00B15BC4">
              <w:rPr>
                <w:rFonts w:cs="Arial"/>
                <w:b/>
                <w:color w:val="000000"/>
                <w:spacing w:val="0"/>
                <w:sz w:val="22"/>
                <w:szCs w:val="22"/>
                <w:lang w:eastAsia="en-GB"/>
              </w:rPr>
              <w:t>Total Funding</w:t>
            </w:r>
          </w:p>
        </w:tc>
        <w:tc>
          <w:tcPr>
            <w:tcW w:w="1504" w:type="dxa"/>
            <w:tcBorders>
              <w:top w:val="nil"/>
              <w:left w:val="nil"/>
              <w:bottom w:val="single" w:sz="4" w:space="0" w:color="auto"/>
              <w:right w:val="single" w:sz="4" w:space="0" w:color="auto"/>
            </w:tcBorders>
            <w:noWrap/>
          </w:tcPr>
          <w:p w14:paraId="315F68F4" w14:textId="77777777" w:rsidR="00B15BC4" w:rsidRPr="00B15BC4" w:rsidRDefault="00B15BC4" w:rsidP="003F3E97">
            <w:pPr>
              <w:jc w:val="right"/>
              <w:rPr>
                <w:rFonts w:cs="Arial"/>
                <w:b/>
                <w:color w:val="000000"/>
                <w:spacing w:val="0"/>
                <w:sz w:val="22"/>
                <w:szCs w:val="22"/>
                <w:lang w:eastAsia="en-GB"/>
              </w:rPr>
            </w:pPr>
            <w:r>
              <w:rPr>
                <w:rFonts w:cs="Arial"/>
                <w:b/>
                <w:color w:val="000000"/>
                <w:spacing w:val="0"/>
                <w:sz w:val="22"/>
                <w:szCs w:val="22"/>
                <w:lang w:eastAsia="en-GB"/>
              </w:rPr>
              <w:t>19,541,433</w:t>
            </w:r>
          </w:p>
        </w:tc>
      </w:tr>
      <w:tr w:rsidR="00B15BC4" w:rsidRPr="004228A3" w14:paraId="19A5AF87" w14:textId="77777777" w:rsidTr="00B15BC4">
        <w:trPr>
          <w:trHeight w:val="281"/>
        </w:trPr>
        <w:tc>
          <w:tcPr>
            <w:tcW w:w="4560" w:type="dxa"/>
            <w:tcBorders>
              <w:top w:val="nil"/>
              <w:left w:val="single" w:sz="4" w:space="0" w:color="auto"/>
              <w:bottom w:val="single" w:sz="4" w:space="0" w:color="auto"/>
              <w:right w:val="single" w:sz="4" w:space="0" w:color="auto"/>
            </w:tcBorders>
            <w:noWrap/>
            <w:vAlign w:val="bottom"/>
          </w:tcPr>
          <w:p w14:paraId="19ED537C" w14:textId="77777777" w:rsidR="00B15BC4" w:rsidRPr="004228A3" w:rsidRDefault="00B15BC4" w:rsidP="003F3E97">
            <w:pPr>
              <w:rPr>
                <w:rFonts w:cs="Arial"/>
                <w:color w:val="000000"/>
                <w:spacing w:val="0"/>
                <w:sz w:val="22"/>
                <w:szCs w:val="22"/>
                <w:lang w:eastAsia="en-GB"/>
              </w:rPr>
            </w:pPr>
            <w:r>
              <w:rPr>
                <w:rFonts w:cs="Arial"/>
                <w:color w:val="000000"/>
                <w:spacing w:val="0"/>
                <w:sz w:val="22"/>
                <w:szCs w:val="22"/>
                <w:lang w:eastAsia="en-GB"/>
              </w:rPr>
              <w:t>Over allocation</w:t>
            </w:r>
          </w:p>
        </w:tc>
        <w:tc>
          <w:tcPr>
            <w:tcW w:w="1504" w:type="dxa"/>
            <w:tcBorders>
              <w:top w:val="nil"/>
              <w:left w:val="nil"/>
              <w:bottom w:val="single" w:sz="4" w:space="0" w:color="auto"/>
              <w:right w:val="single" w:sz="4" w:space="0" w:color="auto"/>
            </w:tcBorders>
            <w:noWrap/>
          </w:tcPr>
          <w:p w14:paraId="40A87538" w14:textId="77777777" w:rsidR="00B15BC4" w:rsidRPr="004228A3" w:rsidRDefault="00B15BC4" w:rsidP="003F3E97">
            <w:pPr>
              <w:jc w:val="right"/>
              <w:rPr>
                <w:rFonts w:cs="Arial"/>
                <w:color w:val="000000"/>
                <w:spacing w:val="0"/>
                <w:sz w:val="22"/>
                <w:szCs w:val="22"/>
                <w:lang w:eastAsia="en-GB"/>
              </w:rPr>
            </w:pPr>
            <w:r>
              <w:rPr>
                <w:rFonts w:cs="Arial"/>
                <w:color w:val="000000"/>
                <w:spacing w:val="0"/>
                <w:sz w:val="22"/>
                <w:szCs w:val="22"/>
                <w:lang w:eastAsia="en-GB"/>
              </w:rPr>
              <w:t>349,433</w:t>
            </w:r>
          </w:p>
        </w:tc>
      </w:tr>
    </w:tbl>
    <w:p w14:paraId="044B7AC7" w14:textId="77777777" w:rsidR="00B15BC4" w:rsidRDefault="00B15BC4" w:rsidP="00B15BC4">
      <w:pPr>
        <w:autoSpaceDE w:val="0"/>
        <w:autoSpaceDN w:val="0"/>
        <w:adjustRightInd w:val="0"/>
        <w:ind w:left="686"/>
        <w:jc w:val="both"/>
        <w:rPr>
          <w:rFonts w:eastAsiaTheme="minorHAnsi" w:cs="Arial"/>
          <w:spacing w:val="0"/>
          <w:szCs w:val="24"/>
        </w:rPr>
      </w:pPr>
    </w:p>
    <w:p w14:paraId="5EB1E8A0" w14:textId="77777777" w:rsidR="00E67BEF" w:rsidRPr="004228A3" w:rsidRDefault="00330F00" w:rsidP="001D53E0">
      <w:pPr>
        <w:ind w:left="720"/>
        <w:rPr>
          <w:rFonts w:eastAsiaTheme="minorHAnsi" w:cs="Arial"/>
          <w:spacing w:val="0"/>
          <w:szCs w:val="24"/>
        </w:rPr>
      </w:pPr>
      <w:r>
        <w:rPr>
          <w:rFonts w:cs="Arial"/>
        </w:rPr>
        <w:t xml:space="preserve">The Committee approved an over </w:t>
      </w:r>
      <w:r w:rsidR="00E67BEF" w:rsidRPr="00C807BC">
        <w:rPr>
          <w:rFonts w:cs="Arial"/>
        </w:rPr>
        <w:t xml:space="preserve">allocation </w:t>
      </w:r>
      <w:r>
        <w:rPr>
          <w:rFonts w:cs="Arial"/>
        </w:rPr>
        <w:t xml:space="preserve">against </w:t>
      </w:r>
      <w:r w:rsidR="00E67BEF" w:rsidRPr="00C807BC">
        <w:rPr>
          <w:rFonts w:cs="Arial"/>
        </w:rPr>
        <w:t>SG funding by £350k</w:t>
      </w:r>
      <w:r w:rsidR="00E67BEF">
        <w:rPr>
          <w:rFonts w:cs="Arial"/>
        </w:rPr>
        <w:t>, on the basis that this would be actively managed in year.</w:t>
      </w:r>
    </w:p>
    <w:p w14:paraId="6A363523" w14:textId="77777777" w:rsidR="00B15BC4" w:rsidRDefault="00B15BC4" w:rsidP="00B15BC4">
      <w:pPr>
        <w:autoSpaceDE w:val="0"/>
        <w:autoSpaceDN w:val="0"/>
        <w:adjustRightInd w:val="0"/>
        <w:ind w:left="686"/>
        <w:jc w:val="both"/>
        <w:rPr>
          <w:rFonts w:eastAsiaTheme="minorHAnsi" w:cs="Arial"/>
          <w:spacing w:val="0"/>
          <w:szCs w:val="24"/>
        </w:rPr>
      </w:pPr>
    </w:p>
    <w:p w14:paraId="3CA178F3" w14:textId="77777777" w:rsidR="00F3337D" w:rsidRPr="004228A3" w:rsidRDefault="00C16434" w:rsidP="00C16434">
      <w:pPr>
        <w:pStyle w:val="Heading2"/>
        <w:rPr>
          <w:rFonts w:cs="Arial"/>
        </w:rPr>
      </w:pPr>
      <w:r w:rsidRPr="004228A3">
        <w:rPr>
          <w:rFonts w:eastAsiaTheme="minorHAnsi" w:cs="Arial"/>
          <w:bCs/>
          <w:spacing w:val="0"/>
          <w:szCs w:val="24"/>
        </w:rPr>
        <w:t>2</w:t>
      </w:r>
      <w:r w:rsidR="00BF3AF0" w:rsidRPr="004228A3">
        <w:rPr>
          <w:rFonts w:cs="Arial"/>
        </w:rPr>
        <w:t>.3</w:t>
      </w:r>
      <w:r w:rsidR="00BF3AF0" w:rsidRPr="004228A3">
        <w:rPr>
          <w:rFonts w:cs="Arial"/>
        </w:rPr>
        <w:tab/>
      </w:r>
      <w:r w:rsidR="00F3337D" w:rsidRPr="004228A3">
        <w:rPr>
          <w:rFonts w:cs="Arial"/>
        </w:rPr>
        <w:t>Assessment</w:t>
      </w:r>
      <w:r w:rsidR="00D90049" w:rsidRPr="004228A3">
        <w:rPr>
          <w:rFonts w:cs="Arial"/>
        </w:rPr>
        <w:t xml:space="preserve"> </w:t>
      </w:r>
    </w:p>
    <w:p w14:paraId="19A9D813" w14:textId="77777777" w:rsidR="000265BA" w:rsidRDefault="000265BA" w:rsidP="00EB7C71">
      <w:pPr>
        <w:autoSpaceDE w:val="0"/>
        <w:autoSpaceDN w:val="0"/>
        <w:adjustRightInd w:val="0"/>
        <w:ind w:left="686"/>
        <w:jc w:val="both"/>
        <w:rPr>
          <w:rFonts w:eastAsiaTheme="minorHAnsi" w:cs="Arial"/>
          <w:spacing w:val="0"/>
          <w:szCs w:val="24"/>
        </w:rPr>
      </w:pPr>
    </w:p>
    <w:p w14:paraId="23D3038E" w14:textId="77777777" w:rsidR="00B15BC4" w:rsidRDefault="00CD4085" w:rsidP="001D53E0">
      <w:pPr>
        <w:autoSpaceDE w:val="0"/>
        <w:autoSpaceDN w:val="0"/>
        <w:adjustRightInd w:val="0"/>
        <w:ind w:left="686"/>
        <w:rPr>
          <w:rFonts w:eastAsiaTheme="minorHAnsi" w:cs="Arial"/>
          <w:spacing w:val="0"/>
          <w:szCs w:val="24"/>
        </w:rPr>
      </w:pPr>
      <w:r>
        <w:rPr>
          <w:rFonts w:eastAsiaTheme="minorHAnsi" w:cs="Arial"/>
          <w:spacing w:val="0"/>
          <w:szCs w:val="24"/>
        </w:rPr>
        <w:t xml:space="preserve">At month 5, total funding amounted to </w:t>
      </w:r>
      <w:r w:rsidR="00F57E23">
        <w:rPr>
          <w:rFonts w:eastAsiaTheme="minorHAnsi" w:cs="Arial"/>
          <w:spacing w:val="0"/>
          <w:szCs w:val="24"/>
        </w:rPr>
        <w:t>£19.2</w:t>
      </w:r>
      <w:r>
        <w:rPr>
          <w:rFonts w:eastAsiaTheme="minorHAnsi" w:cs="Arial"/>
          <w:spacing w:val="0"/>
          <w:szCs w:val="24"/>
        </w:rPr>
        <w:t>m.</w:t>
      </w:r>
      <w:r w:rsidR="0062122C">
        <w:rPr>
          <w:rFonts w:eastAsiaTheme="minorHAnsi" w:cs="Arial"/>
          <w:spacing w:val="0"/>
          <w:szCs w:val="24"/>
        </w:rPr>
        <w:t xml:space="preserve"> The following sho</w:t>
      </w:r>
      <w:r w:rsidR="003C69FD">
        <w:rPr>
          <w:rFonts w:eastAsiaTheme="minorHAnsi" w:cs="Arial"/>
          <w:spacing w:val="0"/>
          <w:szCs w:val="24"/>
        </w:rPr>
        <w:t>ws a summary of the movements;</w:t>
      </w:r>
    </w:p>
    <w:p w14:paraId="713C3054" w14:textId="77777777" w:rsidR="00CD4085" w:rsidRDefault="00CD4085" w:rsidP="000265BA">
      <w:pPr>
        <w:autoSpaceDE w:val="0"/>
        <w:autoSpaceDN w:val="0"/>
        <w:adjustRightInd w:val="0"/>
        <w:ind w:left="686"/>
        <w:jc w:val="both"/>
        <w:rPr>
          <w:rFonts w:eastAsiaTheme="minorHAnsi" w:cs="Arial"/>
          <w:spacing w:val="0"/>
          <w:szCs w:val="24"/>
        </w:rPr>
      </w:pPr>
    </w:p>
    <w:tbl>
      <w:tblPr>
        <w:tblW w:w="9072"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1504"/>
        <w:gridCol w:w="1504"/>
        <w:gridCol w:w="1504"/>
      </w:tblGrid>
      <w:tr w:rsidR="00CD4085" w:rsidRPr="004228A3" w14:paraId="5FD3741A" w14:textId="77777777" w:rsidTr="00CD4085">
        <w:trPr>
          <w:trHeight w:val="600"/>
        </w:trPr>
        <w:tc>
          <w:tcPr>
            <w:tcW w:w="4560" w:type="dxa"/>
            <w:vAlign w:val="center"/>
            <w:hideMark/>
          </w:tcPr>
          <w:p w14:paraId="2D170D3D" w14:textId="77777777" w:rsidR="00CD4085" w:rsidRDefault="00CD4085" w:rsidP="00CD4085">
            <w:pPr>
              <w:rPr>
                <w:rFonts w:cs="Arial"/>
                <w:b/>
                <w:bCs/>
                <w:color w:val="000000"/>
                <w:spacing w:val="0"/>
                <w:sz w:val="22"/>
                <w:szCs w:val="22"/>
                <w:lang w:eastAsia="en-GB"/>
              </w:rPr>
            </w:pPr>
          </w:p>
          <w:p w14:paraId="6863A769" w14:textId="77777777" w:rsidR="00CD4085" w:rsidRDefault="00CD4085" w:rsidP="00CD4085">
            <w:pPr>
              <w:rPr>
                <w:rFonts w:cs="Arial"/>
                <w:b/>
                <w:bCs/>
                <w:color w:val="000000"/>
                <w:spacing w:val="0"/>
                <w:sz w:val="22"/>
                <w:szCs w:val="22"/>
                <w:lang w:eastAsia="en-GB"/>
              </w:rPr>
            </w:pPr>
          </w:p>
          <w:p w14:paraId="521A6792" w14:textId="77777777" w:rsidR="00CD4085" w:rsidRPr="004228A3" w:rsidRDefault="00CD4085" w:rsidP="00CD4085">
            <w:pPr>
              <w:rPr>
                <w:rFonts w:cs="Arial"/>
                <w:b/>
                <w:bCs/>
                <w:color w:val="000000"/>
                <w:spacing w:val="0"/>
                <w:sz w:val="22"/>
                <w:szCs w:val="22"/>
                <w:lang w:eastAsia="en-GB"/>
              </w:rPr>
            </w:pPr>
            <w:r w:rsidRPr="004228A3">
              <w:rPr>
                <w:rFonts w:cs="Arial"/>
                <w:b/>
                <w:bCs/>
                <w:color w:val="000000"/>
                <w:spacing w:val="0"/>
                <w:sz w:val="22"/>
                <w:szCs w:val="22"/>
                <w:lang w:eastAsia="en-GB"/>
              </w:rPr>
              <w:t>FUNDING</w:t>
            </w:r>
          </w:p>
        </w:tc>
        <w:tc>
          <w:tcPr>
            <w:tcW w:w="1504" w:type="dxa"/>
            <w:vAlign w:val="center"/>
            <w:hideMark/>
          </w:tcPr>
          <w:p w14:paraId="5A04329D" w14:textId="77777777" w:rsidR="00CD4085" w:rsidRDefault="00CD4085" w:rsidP="003F3E97">
            <w:pPr>
              <w:jc w:val="center"/>
              <w:rPr>
                <w:rFonts w:cs="Arial"/>
                <w:b/>
                <w:bCs/>
                <w:color w:val="000000"/>
                <w:spacing w:val="0"/>
                <w:sz w:val="22"/>
                <w:szCs w:val="22"/>
                <w:lang w:eastAsia="en-GB"/>
              </w:rPr>
            </w:pPr>
            <w:r>
              <w:rPr>
                <w:rFonts w:cs="Arial"/>
                <w:b/>
                <w:bCs/>
                <w:color w:val="000000"/>
                <w:spacing w:val="0"/>
                <w:sz w:val="22"/>
                <w:szCs w:val="22"/>
                <w:lang w:eastAsia="en-GB"/>
              </w:rPr>
              <w:t>Baseline Funding</w:t>
            </w:r>
          </w:p>
          <w:p w14:paraId="6E16A46C" w14:textId="77777777" w:rsidR="00CD4085" w:rsidRPr="004228A3" w:rsidRDefault="00CD4085" w:rsidP="003F3E97">
            <w:pPr>
              <w:jc w:val="center"/>
              <w:rPr>
                <w:rFonts w:cs="Arial"/>
                <w:b/>
                <w:bCs/>
                <w:color w:val="000000"/>
                <w:spacing w:val="0"/>
                <w:sz w:val="22"/>
                <w:szCs w:val="22"/>
                <w:lang w:eastAsia="en-GB"/>
              </w:rPr>
            </w:pPr>
            <w:r>
              <w:rPr>
                <w:rFonts w:cs="Arial"/>
                <w:b/>
                <w:bCs/>
                <w:color w:val="000000"/>
                <w:spacing w:val="0"/>
                <w:sz w:val="22"/>
                <w:szCs w:val="22"/>
                <w:lang w:eastAsia="en-GB"/>
              </w:rPr>
              <w:t>£</w:t>
            </w:r>
          </w:p>
        </w:tc>
        <w:tc>
          <w:tcPr>
            <w:tcW w:w="1504" w:type="dxa"/>
          </w:tcPr>
          <w:p w14:paraId="75AEB8F2" w14:textId="77777777" w:rsidR="00CD4085" w:rsidRDefault="00CD4085" w:rsidP="003F3E97">
            <w:pPr>
              <w:jc w:val="center"/>
              <w:rPr>
                <w:rFonts w:cs="Arial"/>
                <w:b/>
                <w:bCs/>
                <w:color w:val="000000"/>
                <w:spacing w:val="0"/>
                <w:sz w:val="22"/>
                <w:szCs w:val="22"/>
                <w:lang w:eastAsia="en-GB"/>
              </w:rPr>
            </w:pPr>
            <w:r>
              <w:rPr>
                <w:rFonts w:cs="Arial"/>
                <w:b/>
                <w:bCs/>
                <w:color w:val="000000"/>
                <w:spacing w:val="0"/>
                <w:sz w:val="22"/>
                <w:szCs w:val="22"/>
                <w:lang w:eastAsia="en-GB"/>
              </w:rPr>
              <w:t>Funding at M5</w:t>
            </w:r>
          </w:p>
          <w:p w14:paraId="4AFA038A" w14:textId="77777777" w:rsidR="00CD4085" w:rsidRDefault="00CD4085" w:rsidP="003F3E97">
            <w:pPr>
              <w:jc w:val="center"/>
              <w:rPr>
                <w:rFonts w:cs="Arial"/>
                <w:b/>
                <w:bCs/>
                <w:color w:val="000000"/>
                <w:spacing w:val="0"/>
                <w:sz w:val="22"/>
                <w:szCs w:val="22"/>
                <w:lang w:eastAsia="en-GB"/>
              </w:rPr>
            </w:pPr>
            <w:r>
              <w:rPr>
                <w:rFonts w:cs="Arial"/>
                <w:b/>
                <w:bCs/>
                <w:color w:val="000000"/>
                <w:spacing w:val="0"/>
                <w:sz w:val="22"/>
                <w:szCs w:val="22"/>
                <w:lang w:eastAsia="en-GB"/>
              </w:rPr>
              <w:t>£</w:t>
            </w:r>
          </w:p>
        </w:tc>
        <w:tc>
          <w:tcPr>
            <w:tcW w:w="1504" w:type="dxa"/>
          </w:tcPr>
          <w:p w14:paraId="7466A710" w14:textId="77777777" w:rsidR="00CD4085" w:rsidRDefault="00CD4085" w:rsidP="00CD4085">
            <w:pPr>
              <w:jc w:val="center"/>
              <w:rPr>
                <w:rFonts w:cs="Arial"/>
                <w:b/>
                <w:bCs/>
                <w:color w:val="000000"/>
                <w:spacing w:val="0"/>
                <w:sz w:val="22"/>
                <w:szCs w:val="22"/>
                <w:lang w:eastAsia="en-GB"/>
              </w:rPr>
            </w:pPr>
          </w:p>
          <w:p w14:paraId="2123FA2A" w14:textId="77777777" w:rsidR="00CD4085" w:rsidRDefault="00CD4085" w:rsidP="00CD4085">
            <w:pPr>
              <w:jc w:val="center"/>
              <w:rPr>
                <w:rFonts w:cs="Arial"/>
                <w:b/>
                <w:bCs/>
                <w:color w:val="000000"/>
                <w:spacing w:val="0"/>
                <w:sz w:val="22"/>
                <w:szCs w:val="22"/>
                <w:lang w:eastAsia="en-GB"/>
              </w:rPr>
            </w:pPr>
            <w:r>
              <w:rPr>
                <w:rFonts w:cs="Arial"/>
                <w:b/>
                <w:bCs/>
                <w:color w:val="000000"/>
                <w:spacing w:val="0"/>
                <w:sz w:val="22"/>
                <w:szCs w:val="22"/>
                <w:lang w:eastAsia="en-GB"/>
              </w:rPr>
              <w:t>Movement</w:t>
            </w:r>
          </w:p>
          <w:p w14:paraId="7C40DFB7" w14:textId="77777777" w:rsidR="00CD4085" w:rsidRDefault="00CD4085" w:rsidP="00CD4085">
            <w:pPr>
              <w:jc w:val="center"/>
              <w:rPr>
                <w:rFonts w:cs="Arial"/>
                <w:b/>
                <w:bCs/>
                <w:color w:val="000000"/>
                <w:spacing w:val="0"/>
                <w:sz w:val="22"/>
                <w:szCs w:val="22"/>
                <w:lang w:eastAsia="en-GB"/>
              </w:rPr>
            </w:pPr>
            <w:r>
              <w:rPr>
                <w:rFonts w:cs="Arial"/>
                <w:b/>
                <w:bCs/>
                <w:color w:val="000000"/>
                <w:spacing w:val="0"/>
                <w:sz w:val="22"/>
                <w:szCs w:val="22"/>
                <w:lang w:eastAsia="en-GB"/>
              </w:rPr>
              <w:t>£</w:t>
            </w:r>
          </w:p>
        </w:tc>
      </w:tr>
      <w:tr w:rsidR="00CD4085" w:rsidRPr="004228A3" w14:paraId="6EE3F83B" w14:textId="77777777" w:rsidTr="00CD4085">
        <w:trPr>
          <w:trHeight w:val="219"/>
        </w:trPr>
        <w:tc>
          <w:tcPr>
            <w:tcW w:w="4560" w:type="dxa"/>
            <w:vAlign w:val="center"/>
            <w:hideMark/>
          </w:tcPr>
          <w:p w14:paraId="4E19F6C4" w14:textId="77777777" w:rsidR="00CD4085" w:rsidRPr="004228A3" w:rsidRDefault="00CD4085" w:rsidP="003F3E97">
            <w:pPr>
              <w:rPr>
                <w:rFonts w:cs="Arial"/>
                <w:color w:val="000000"/>
                <w:spacing w:val="0"/>
                <w:sz w:val="22"/>
                <w:szCs w:val="22"/>
                <w:lang w:eastAsia="en-GB"/>
              </w:rPr>
            </w:pPr>
            <w:r w:rsidRPr="004228A3">
              <w:rPr>
                <w:rFonts w:cs="Arial"/>
                <w:color w:val="000000"/>
                <w:spacing w:val="0"/>
                <w:sz w:val="22"/>
                <w:szCs w:val="22"/>
                <w:lang w:eastAsia="en-GB"/>
              </w:rPr>
              <w:t>Phase 2 Hospital Expansion</w:t>
            </w:r>
          </w:p>
        </w:tc>
        <w:tc>
          <w:tcPr>
            <w:tcW w:w="1504" w:type="dxa"/>
            <w:vAlign w:val="center"/>
            <w:hideMark/>
          </w:tcPr>
          <w:p w14:paraId="551C9791" w14:textId="77777777" w:rsidR="00CD4085" w:rsidRPr="004228A3" w:rsidRDefault="00CD4085" w:rsidP="003F3E97">
            <w:pPr>
              <w:jc w:val="right"/>
              <w:rPr>
                <w:rFonts w:cs="Arial"/>
                <w:color w:val="000000"/>
                <w:spacing w:val="0"/>
                <w:sz w:val="22"/>
                <w:szCs w:val="22"/>
                <w:lang w:eastAsia="en-GB"/>
              </w:rPr>
            </w:pPr>
            <w:r>
              <w:rPr>
                <w:rFonts w:cs="Arial"/>
                <w:color w:val="000000"/>
                <w:spacing w:val="0"/>
                <w:sz w:val="22"/>
                <w:szCs w:val="22"/>
                <w:lang w:eastAsia="en-GB"/>
              </w:rPr>
              <w:t>11,500,000</w:t>
            </w:r>
          </w:p>
        </w:tc>
        <w:tc>
          <w:tcPr>
            <w:tcW w:w="1504" w:type="dxa"/>
          </w:tcPr>
          <w:p w14:paraId="44EF71C3" w14:textId="77777777" w:rsidR="00CD4085" w:rsidRDefault="00CD4085" w:rsidP="003F3E97">
            <w:pPr>
              <w:jc w:val="right"/>
              <w:rPr>
                <w:rFonts w:cs="Arial"/>
                <w:color w:val="000000"/>
                <w:spacing w:val="0"/>
                <w:sz w:val="22"/>
                <w:szCs w:val="22"/>
                <w:lang w:eastAsia="en-GB"/>
              </w:rPr>
            </w:pPr>
            <w:r>
              <w:rPr>
                <w:rFonts w:cs="Arial"/>
                <w:color w:val="000000"/>
                <w:spacing w:val="0"/>
                <w:sz w:val="22"/>
                <w:szCs w:val="22"/>
                <w:lang w:eastAsia="en-GB"/>
              </w:rPr>
              <w:t>9,700,000</w:t>
            </w:r>
          </w:p>
        </w:tc>
        <w:tc>
          <w:tcPr>
            <w:tcW w:w="1504" w:type="dxa"/>
          </w:tcPr>
          <w:p w14:paraId="30EC28BF" w14:textId="77777777" w:rsidR="00CD4085" w:rsidRDefault="00CD4085" w:rsidP="003F3E97">
            <w:pPr>
              <w:jc w:val="right"/>
              <w:rPr>
                <w:rFonts w:cs="Arial"/>
                <w:color w:val="000000"/>
                <w:spacing w:val="0"/>
                <w:sz w:val="22"/>
                <w:szCs w:val="22"/>
                <w:lang w:eastAsia="en-GB"/>
              </w:rPr>
            </w:pPr>
            <w:r>
              <w:rPr>
                <w:rFonts w:cs="Arial"/>
                <w:color w:val="000000"/>
                <w:spacing w:val="0"/>
                <w:sz w:val="22"/>
                <w:szCs w:val="22"/>
                <w:lang w:eastAsia="en-GB"/>
              </w:rPr>
              <w:t>(1,800,000)</w:t>
            </w:r>
          </w:p>
        </w:tc>
      </w:tr>
      <w:tr w:rsidR="00CD4085" w:rsidRPr="004228A3" w14:paraId="1D6CF356" w14:textId="77777777" w:rsidTr="005B7DBD">
        <w:trPr>
          <w:trHeight w:val="269"/>
        </w:trPr>
        <w:tc>
          <w:tcPr>
            <w:tcW w:w="4560" w:type="dxa"/>
            <w:noWrap/>
            <w:vAlign w:val="bottom"/>
            <w:hideMark/>
          </w:tcPr>
          <w:p w14:paraId="3AB6EF43" w14:textId="77777777" w:rsidR="00CD4085" w:rsidRPr="004228A3" w:rsidRDefault="00CD4085" w:rsidP="00CD4085">
            <w:pPr>
              <w:rPr>
                <w:rFonts w:cs="Arial"/>
                <w:color w:val="000000"/>
                <w:spacing w:val="0"/>
                <w:sz w:val="22"/>
                <w:szCs w:val="22"/>
                <w:lang w:eastAsia="en-GB"/>
              </w:rPr>
            </w:pPr>
            <w:r w:rsidRPr="004228A3">
              <w:rPr>
                <w:rFonts w:cs="Arial"/>
                <w:color w:val="000000"/>
                <w:spacing w:val="0"/>
                <w:sz w:val="22"/>
                <w:szCs w:val="22"/>
                <w:lang w:eastAsia="en-GB"/>
              </w:rPr>
              <w:t>Formula Capital (inc</w:t>
            </w:r>
            <w:r>
              <w:rPr>
                <w:rFonts w:cs="Arial"/>
                <w:color w:val="000000"/>
                <w:spacing w:val="0"/>
                <w:sz w:val="22"/>
                <w:szCs w:val="22"/>
                <w:lang w:eastAsia="en-GB"/>
              </w:rPr>
              <w:t>l.</w:t>
            </w:r>
            <w:r w:rsidRPr="004228A3">
              <w:rPr>
                <w:rFonts w:cs="Arial"/>
                <w:color w:val="000000"/>
                <w:spacing w:val="0"/>
                <w:sz w:val="22"/>
                <w:szCs w:val="22"/>
                <w:lang w:eastAsia="en-GB"/>
              </w:rPr>
              <w:t xml:space="preserve"> 5% Uplift)</w:t>
            </w:r>
          </w:p>
        </w:tc>
        <w:tc>
          <w:tcPr>
            <w:tcW w:w="1504" w:type="dxa"/>
            <w:noWrap/>
            <w:hideMark/>
          </w:tcPr>
          <w:p w14:paraId="1705B2B0" w14:textId="77777777" w:rsidR="00CD4085" w:rsidRPr="004228A3" w:rsidRDefault="00CD4085" w:rsidP="00CD4085">
            <w:pPr>
              <w:jc w:val="right"/>
              <w:rPr>
                <w:rFonts w:cs="Arial"/>
                <w:color w:val="000000"/>
                <w:spacing w:val="0"/>
                <w:sz w:val="22"/>
                <w:szCs w:val="22"/>
                <w:lang w:eastAsia="en-GB"/>
              </w:rPr>
            </w:pPr>
            <w:r w:rsidRPr="004228A3">
              <w:rPr>
                <w:rFonts w:cs="Arial"/>
                <w:color w:val="000000"/>
                <w:spacing w:val="0"/>
                <w:sz w:val="22"/>
                <w:szCs w:val="22"/>
                <w:lang w:eastAsia="en-GB"/>
              </w:rPr>
              <w:t>2,826,000</w:t>
            </w:r>
          </w:p>
        </w:tc>
        <w:tc>
          <w:tcPr>
            <w:tcW w:w="1504" w:type="dxa"/>
          </w:tcPr>
          <w:p w14:paraId="50A4B924" w14:textId="77777777" w:rsidR="00CD4085" w:rsidRPr="004228A3" w:rsidRDefault="00CD4085" w:rsidP="00CD4085">
            <w:pPr>
              <w:jc w:val="right"/>
              <w:rPr>
                <w:rFonts w:cs="Arial"/>
                <w:color w:val="000000"/>
                <w:spacing w:val="0"/>
                <w:sz w:val="22"/>
                <w:szCs w:val="22"/>
                <w:lang w:eastAsia="en-GB"/>
              </w:rPr>
            </w:pPr>
            <w:r w:rsidRPr="004228A3">
              <w:rPr>
                <w:rFonts w:cs="Arial"/>
                <w:color w:val="000000"/>
                <w:spacing w:val="0"/>
                <w:sz w:val="22"/>
                <w:szCs w:val="22"/>
                <w:lang w:eastAsia="en-GB"/>
              </w:rPr>
              <w:t>2,826,000</w:t>
            </w:r>
          </w:p>
        </w:tc>
        <w:tc>
          <w:tcPr>
            <w:tcW w:w="1504" w:type="dxa"/>
          </w:tcPr>
          <w:p w14:paraId="5A5F848D" w14:textId="77777777" w:rsidR="00CD4085" w:rsidRPr="004228A3" w:rsidRDefault="00CD4085" w:rsidP="00CD4085">
            <w:pPr>
              <w:jc w:val="right"/>
              <w:rPr>
                <w:rFonts w:cs="Arial"/>
                <w:color w:val="000000"/>
                <w:spacing w:val="0"/>
                <w:sz w:val="22"/>
                <w:szCs w:val="22"/>
                <w:lang w:eastAsia="en-GB"/>
              </w:rPr>
            </w:pPr>
            <w:r>
              <w:rPr>
                <w:rFonts w:cs="Arial"/>
                <w:color w:val="000000"/>
                <w:spacing w:val="0"/>
                <w:sz w:val="22"/>
                <w:szCs w:val="22"/>
                <w:lang w:eastAsia="en-GB"/>
              </w:rPr>
              <w:t>0</w:t>
            </w:r>
          </w:p>
        </w:tc>
      </w:tr>
      <w:tr w:rsidR="00CD4085" w:rsidRPr="004228A3" w14:paraId="22F6C045" w14:textId="77777777" w:rsidTr="005B7DBD">
        <w:trPr>
          <w:trHeight w:val="241"/>
        </w:trPr>
        <w:tc>
          <w:tcPr>
            <w:tcW w:w="4560" w:type="dxa"/>
            <w:noWrap/>
            <w:vAlign w:val="bottom"/>
            <w:hideMark/>
          </w:tcPr>
          <w:p w14:paraId="77BFE31C" w14:textId="77777777" w:rsidR="00CD4085" w:rsidRPr="004228A3" w:rsidRDefault="00CD4085" w:rsidP="00CD4085">
            <w:pPr>
              <w:rPr>
                <w:rFonts w:cs="Arial"/>
                <w:color w:val="000000"/>
                <w:spacing w:val="0"/>
                <w:sz w:val="22"/>
                <w:szCs w:val="22"/>
                <w:lang w:eastAsia="en-GB"/>
              </w:rPr>
            </w:pPr>
            <w:r>
              <w:rPr>
                <w:rFonts w:cs="Arial"/>
                <w:color w:val="000000"/>
                <w:spacing w:val="0"/>
                <w:sz w:val="22"/>
                <w:szCs w:val="22"/>
                <w:lang w:eastAsia="en-GB"/>
              </w:rPr>
              <w:t>20</w:t>
            </w:r>
            <w:r w:rsidRPr="004228A3">
              <w:rPr>
                <w:rFonts w:cs="Arial"/>
                <w:color w:val="000000"/>
                <w:spacing w:val="0"/>
                <w:sz w:val="22"/>
                <w:szCs w:val="22"/>
                <w:lang w:eastAsia="en-GB"/>
              </w:rPr>
              <w:t xml:space="preserve">24/25 Agreed Carry forward </w:t>
            </w:r>
          </w:p>
        </w:tc>
        <w:tc>
          <w:tcPr>
            <w:tcW w:w="1504" w:type="dxa"/>
            <w:noWrap/>
            <w:hideMark/>
          </w:tcPr>
          <w:p w14:paraId="1778A435" w14:textId="77777777" w:rsidR="00CD4085" w:rsidRPr="004228A3" w:rsidRDefault="00CD4085" w:rsidP="00CD4085">
            <w:pPr>
              <w:jc w:val="right"/>
              <w:rPr>
                <w:rFonts w:cs="Arial"/>
                <w:color w:val="000000"/>
                <w:spacing w:val="0"/>
                <w:sz w:val="22"/>
                <w:szCs w:val="22"/>
                <w:lang w:eastAsia="en-GB"/>
              </w:rPr>
            </w:pPr>
            <w:r w:rsidRPr="004228A3">
              <w:rPr>
                <w:rFonts w:cs="Arial"/>
                <w:color w:val="000000"/>
                <w:spacing w:val="0"/>
                <w:sz w:val="22"/>
                <w:szCs w:val="22"/>
                <w:lang w:eastAsia="en-GB"/>
              </w:rPr>
              <w:t>961,000</w:t>
            </w:r>
          </w:p>
        </w:tc>
        <w:tc>
          <w:tcPr>
            <w:tcW w:w="1504" w:type="dxa"/>
          </w:tcPr>
          <w:p w14:paraId="0A4042A0" w14:textId="77777777" w:rsidR="00CD4085" w:rsidRPr="004228A3" w:rsidRDefault="00CD4085" w:rsidP="00CD4085">
            <w:pPr>
              <w:jc w:val="right"/>
              <w:rPr>
                <w:rFonts w:cs="Arial"/>
                <w:color w:val="000000"/>
                <w:spacing w:val="0"/>
                <w:sz w:val="22"/>
                <w:szCs w:val="22"/>
                <w:lang w:eastAsia="en-GB"/>
              </w:rPr>
            </w:pPr>
            <w:r w:rsidRPr="004228A3">
              <w:rPr>
                <w:rFonts w:cs="Arial"/>
                <w:color w:val="000000"/>
                <w:spacing w:val="0"/>
                <w:sz w:val="22"/>
                <w:szCs w:val="22"/>
                <w:lang w:eastAsia="en-GB"/>
              </w:rPr>
              <w:t>961,000</w:t>
            </w:r>
          </w:p>
        </w:tc>
        <w:tc>
          <w:tcPr>
            <w:tcW w:w="1504" w:type="dxa"/>
          </w:tcPr>
          <w:p w14:paraId="5E489E88" w14:textId="77777777" w:rsidR="00CD4085" w:rsidRPr="004228A3" w:rsidRDefault="00CD4085" w:rsidP="00CD4085">
            <w:pPr>
              <w:jc w:val="right"/>
              <w:rPr>
                <w:rFonts w:cs="Arial"/>
                <w:color w:val="000000"/>
                <w:spacing w:val="0"/>
                <w:sz w:val="22"/>
                <w:szCs w:val="22"/>
                <w:lang w:eastAsia="en-GB"/>
              </w:rPr>
            </w:pPr>
            <w:r>
              <w:rPr>
                <w:rFonts w:cs="Arial"/>
                <w:color w:val="000000"/>
                <w:spacing w:val="0"/>
                <w:sz w:val="22"/>
                <w:szCs w:val="22"/>
                <w:lang w:eastAsia="en-GB"/>
              </w:rPr>
              <w:t>0</w:t>
            </w:r>
          </w:p>
        </w:tc>
      </w:tr>
      <w:tr w:rsidR="00CD4085" w:rsidRPr="004228A3" w14:paraId="75921D7C" w14:textId="77777777" w:rsidTr="005B7DBD">
        <w:trPr>
          <w:trHeight w:val="273"/>
        </w:trPr>
        <w:tc>
          <w:tcPr>
            <w:tcW w:w="4560" w:type="dxa"/>
            <w:noWrap/>
            <w:vAlign w:val="bottom"/>
            <w:hideMark/>
          </w:tcPr>
          <w:p w14:paraId="6F3ACA04" w14:textId="77777777" w:rsidR="00CD4085" w:rsidRPr="004228A3" w:rsidRDefault="003C69FD" w:rsidP="00CD4085">
            <w:pPr>
              <w:rPr>
                <w:rFonts w:cs="Arial"/>
                <w:color w:val="000000"/>
                <w:spacing w:val="0"/>
                <w:sz w:val="22"/>
                <w:szCs w:val="22"/>
                <w:lang w:eastAsia="en-GB"/>
              </w:rPr>
            </w:pPr>
            <w:r w:rsidRPr="00CD4085">
              <w:rPr>
                <w:rFonts w:cs="Arial"/>
                <w:bCs/>
                <w:color w:val="000000"/>
                <w:spacing w:val="0"/>
                <w:sz w:val="22"/>
                <w:szCs w:val="22"/>
                <w:lang w:eastAsia="en-GB"/>
              </w:rPr>
              <w:t>4 Heart &amp; Lung Machines</w:t>
            </w:r>
            <w:r>
              <w:rPr>
                <w:rFonts w:cs="Arial"/>
                <w:bCs/>
                <w:color w:val="000000"/>
                <w:spacing w:val="0"/>
                <w:sz w:val="22"/>
                <w:szCs w:val="22"/>
                <w:lang w:eastAsia="en-GB"/>
              </w:rPr>
              <w:t xml:space="preserve"> (NIB)</w:t>
            </w:r>
          </w:p>
        </w:tc>
        <w:tc>
          <w:tcPr>
            <w:tcW w:w="1504" w:type="dxa"/>
            <w:noWrap/>
            <w:hideMark/>
          </w:tcPr>
          <w:p w14:paraId="3D64E913" w14:textId="77777777" w:rsidR="00CD4085" w:rsidRPr="004228A3" w:rsidRDefault="00CD4085" w:rsidP="00CD4085">
            <w:pPr>
              <w:jc w:val="right"/>
              <w:rPr>
                <w:rFonts w:cs="Arial"/>
                <w:color w:val="000000"/>
                <w:spacing w:val="0"/>
                <w:sz w:val="22"/>
                <w:szCs w:val="22"/>
                <w:lang w:eastAsia="en-GB"/>
              </w:rPr>
            </w:pPr>
            <w:r w:rsidRPr="004228A3">
              <w:rPr>
                <w:rFonts w:cs="Arial"/>
                <w:color w:val="000000"/>
                <w:spacing w:val="0"/>
                <w:sz w:val="22"/>
                <w:szCs w:val="22"/>
                <w:lang w:eastAsia="en-GB"/>
              </w:rPr>
              <w:t>1,000,000</w:t>
            </w:r>
          </w:p>
        </w:tc>
        <w:tc>
          <w:tcPr>
            <w:tcW w:w="1504" w:type="dxa"/>
          </w:tcPr>
          <w:p w14:paraId="634E4DD9" w14:textId="77777777" w:rsidR="00CD4085" w:rsidRPr="004228A3" w:rsidRDefault="00CD4085" w:rsidP="00CD4085">
            <w:pPr>
              <w:jc w:val="right"/>
              <w:rPr>
                <w:rFonts w:cs="Arial"/>
                <w:color w:val="000000"/>
                <w:spacing w:val="0"/>
                <w:sz w:val="22"/>
                <w:szCs w:val="22"/>
                <w:lang w:eastAsia="en-GB"/>
              </w:rPr>
            </w:pPr>
            <w:r w:rsidRPr="004228A3">
              <w:rPr>
                <w:rFonts w:cs="Arial"/>
                <w:color w:val="000000"/>
                <w:spacing w:val="0"/>
                <w:sz w:val="22"/>
                <w:szCs w:val="22"/>
                <w:lang w:eastAsia="en-GB"/>
              </w:rPr>
              <w:t>1,000,000</w:t>
            </w:r>
          </w:p>
        </w:tc>
        <w:tc>
          <w:tcPr>
            <w:tcW w:w="1504" w:type="dxa"/>
          </w:tcPr>
          <w:p w14:paraId="4E0D76C4" w14:textId="77777777" w:rsidR="00CD4085" w:rsidRPr="004228A3" w:rsidRDefault="00CD4085" w:rsidP="00CD4085">
            <w:pPr>
              <w:jc w:val="right"/>
              <w:rPr>
                <w:rFonts w:cs="Arial"/>
                <w:color w:val="000000"/>
                <w:spacing w:val="0"/>
                <w:sz w:val="22"/>
                <w:szCs w:val="22"/>
                <w:lang w:eastAsia="en-GB"/>
              </w:rPr>
            </w:pPr>
            <w:r>
              <w:rPr>
                <w:rFonts w:cs="Arial"/>
                <w:color w:val="000000"/>
                <w:spacing w:val="0"/>
                <w:sz w:val="22"/>
                <w:szCs w:val="22"/>
                <w:lang w:eastAsia="en-GB"/>
              </w:rPr>
              <w:t>0</w:t>
            </w:r>
          </w:p>
        </w:tc>
      </w:tr>
      <w:tr w:rsidR="00CD4085" w:rsidRPr="004228A3" w14:paraId="4716843A" w14:textId="77777777" w:rsidTr="005B7DBD">
        <w:trPr>
          <w:trHeight w:val="264"/>
        </w:trPr>
        <w:tc>
          <w:tcPr>
            <w:tcW w:w="4560" w:type="dxa"/>
            <w:noWrap/>
            <w:vAlign w:val="bottom"/>
            <w:hideMark/>
          </w:tcPr>
          <w:p w14:paraId="0182078D" w14:textId="77777777" w:rsidR="00CD4085" w:rsidRPr="004228A3" w:rsidRDefault="00CD4085" w:rsidP="00CD4085">
            <w:pPr>
              <w:rPr>
                <w:rFonts w:cs="Arial"/>
                <w:color w:val="000000"/>
                <w:spacing w:val="0"/>
                <w:sz w:val="22"/>
                <w:szCs w:val="22"/>
                <w:lang w:eastAsia="en-GB"/>
              </w:rPr>
            </w:pPr>
            <w:r w:rsidRPr="004228A3">
              <w:rPr>
                <w:rFonts w:cs="Arial"/>
                <w:color w:val="000000"/>
                <w:spacing w:val="0"/>
                <w:sz w:val="22"/>
                <w:szCs w:val="22"/>
                <w:lang w:eastAsia="en-GB"/>
              </w:rPr>
              <w:t>Business Continuity Project</w:t>
            </w:r>
          </w:p>
        </w:tc>
        <w:tc>
          <w:tcPr>
            <w:tcW w:w="1504" w:type="dxa"/>
            <w:noWrap/>
            <w:hideMark/>
          </w:tcPr>
          <w:p w14:paraId="7468561B" w14:textId="77777777" w:rsidR="00CD4085" w:rsidRPr="004228A3" w:rsidRDefault="00CD4085" w:rsidP="00CD4085">
            <w:pPr>
              <w:jc w:val="right"/>
              <w:rPr>
                <w:rFonts w:cs="Arial"/>
                <w:color w:val="000000"/>
                <w:spacing w:val="0"/>
                <w:sz w:val="22"/>
                <w:szCs w:val="22"/>
                <w:lang w:eastAsia="en-GB"/>
              </w:rPr>
            </w:pPr>
            <w:r w:rsidRPr="004228A3">
              <w:rPr>
                <w:rFonts w:cs="Arial"/>
                <w:color w:val="000000"/>
                <w:spacing w:val="0"/>
                <w:sz w:val="22"/>
                <w:szCs w:val="22"/>
                <w:lang w:eastAsia="en-GB"/>
              </w:rPr>
              <w:t>740,000</w:t>
            </w:r>
          </w:p>
        </w:tc>
        <w:tc>
          <w:tcPr>
            <w:tcW w:w="1504" w:type="dxa"/>
          </w:tcPr>
          <w:p w14:paraId="61BC3841" w14:textId="77777777" w:rsidR="00CD4085" w:rsidRPr="004228A3" w:rsidRDefault="00CD4085" w:rsidP="00CD4085">
            <w:pPr>
              <w:jc w:val="right"/>
              <w:rPr>
                <w:rFonts w:cs="Arial"/>
                <w:color w:val="000000"/>
                <w:spacing w:val="0"/>
                <w:sz w:val="22"/>
                <w:szCs w:val="22"/>
                <w:lang w:eastAsia="en-GB"/>
              </w:rPr>
            </w:pPr>
            <w:r w:rsidRPr="004228A3">
              <w:rPr>
                <w:rFonts w:cs="Arial"/>
                <w:color w:val="000000"/>
                <w:spacing w:val="0"/>
                <w:sz w:val="22"/>
                <w:szCs w:val="22"/>
                <w:lang w:eastAsia="en-GB"/>
              </w:rPr>
              <w:t>740,000</w:t>
            </w:r>
          </w:p>
        </w:tc>
        <w:tc>
          <w:tcPr>
            <w:tcW w:w="1504" w:type="dxa"/>
          </w:tcPr>
          <w:p w14:paraId="0CC6F0F4" w14:textId="77777777" w:rsidR="00CD4085" w:rsidRPr="004228A3" w:rsidRDefault="00CD4085" w:rsidP="00CD4085">
            <w:pPr>
              <w:jc w:val="right"/>
              <w:rPr>
                <w:rFonts w:cs="Arial"/>
                <w:color w:val="000000"/>
                <w:spacing w:val="0"/>
                <w:sz w:val="22"/>
                <w:szCs w:val="22"/>
                <w:lang w:eastAsia="en-GB"/>
              </w:rPr>
            </w:pPr>
            <w:r>
              <w:rPr>
                <w:rFonts w:cs="Arial"/>
                <w:color w:val="000000"/>
                <w:spacing w:val="0"/>
                <w:sz w:val="22"/>
                <w:szCs w:val="22"/>
                <w:lang w:eastAsia="en-GB"/>
              </w:rPr>
              <w:t>0</w:t>
            </w:r>
          </w:p>
        </w:tc>
      </w:tr>
      <w:tr w:rsidR="00CD4085" w:rsidRPr="004228A3" w14:paraId="02B1ADAB" w14:textId="77777777" w:rsidTr="005B7DBD">
        <w:trPr>
          <w:trHeight w:val="281"/>
        </w:trPr>
        <w:tc>
          <w:tcPr>
            <w:tcW w:w="4560" w:type="dxa"/>
            <w:noWrap/>
            <w:vAlign w:val="bottom"/>
            <w:hideMark/>
          </w:tcPr>
          <w:p w14:paraId="45DB78C4" w14:textId="77777777" w:rsidR="00CD4085" w:rsidRPr="004228A3" w:rsidRDefault="00CD4085" w:rsidP="00CD4085">
            <w:pPr>
              <w:rPr>
                <w:rFonts w:cs="Arial"/>
                <w:color w:val="000000"/>
                <w:spacing w:val="0"/>
                <w:sz w:val="22"/>
                <w:szCs w:val="22"/>
                <w:lang w:eastAsia="en-GB"/>
              </w:rPr>
            </w:pPr>
            <w:r w:rsidRPr="004228A3">
              <w:rPr>
                <w:rFonts w:cs="Arial"/>
                <w:color w:val="000000"/>
                <w:spacing w:val="0"/>
                <w:sz w:val="22"/>
                <w:szCs w:val="22"/>
                <w:lang w:eastAsia="en-GB"/>
              </w:rPr>
              <w:t>CT Scanner (Turnkey Works)</w:t>
            </w:r>
          </w:p>
        </w:tc>
        <w:tc>
          <w:tcPr>
            <w:tcW w:w="1504" w:type="dxa"/>
            <w:noWrap/>
            <w:hideMark/>
          </w:tcPr>
          <w:p w14:paraId="0FB4CCED" w14:textId="77777777" w:rsidR="00CD4085" w:rsidRPr="004228A3" w:rsidRDefault="00CD4085" w:rsidP="00CD4085">
            <w:pPr>
              <w:jc w:val="right"/>
              <w:rPr>
                <w:rFonts w:cs="Arial"/>
                <w:color w:val="000000"/>
                <w:spacing w:val="0"/>
                <w:sz w:val="22"/>
                <w:szCs w:val="22"/>
                <w:lang w:eastAsia="en-GB"/>
              </w:rPr>
            </w:pPr>
            <w:r w:rsidRPr="004228A3">
              <w:rPr>
                <w:rFonts w:cs="Arial"/>
                <w:color w:val="000000"/>
                <w:spacing w:val="0"/>
                <w:sz w:val="22"/>
                <w:szCs w:val="22"/>
                <w:lang w:eastAsia="en-GB"/>
              </w:rPr>
              <w:t>1,000,000</w:t>
            </w:r>
          </w:p>
        </w:tc>
        <w:tc>
          <w:tcPr>
            <w:tcW w:w="1504" w:type="dxa"/>
          </w:tcPr>
          <w:p w14:paraId="26264BC8" w14:textId="77777777" w:rsidR="00CD4085" w:rsidRPr="004228A3" w:rsidRDefault="00CD4085" w:rsidP="00CD4085">
            <w:pPr>
              <w:jc w:val="right"/>
              <w:rPr>
                <w:rFonts w:cs="Arial"/>
                <w:color w:val="000000"/>
                <w:spacing w:val="0"/>
                <w:sz w:val="22"/>
                <w:szCs w:val="22"/>
                <w:lang w:eastAsia="en-GB"/>
              </w:rPr>
            </w:pPr>
            <w:r w:rsidRPr="004228A3">
              <w:rPr>
                <w:rFonts w:cs="Arial"/>
                <w:color w:val="000000"/>
                <w:spacing w:val="0"/>
                <w:sz w:val="22"/>
                <w:szCs w:val="22"/>
                <w:lang w:eastAsia="en-GB"/>
              </w:rPr>
              <w:t>1,000,000</w:t>
            </w:r>
          </w:p>
        </w:tc>
        <w:tc>
          <w:tcPr>
            <w:tcW w:w="1504" w:type="dxa"/>
          </w:tcPr>
          <w:p w14:paraId="26360D87" w14:textId="77777777" w:rsidR="00CD4085" w:rsidRPr="004228A3" w:rsidRDefault="00CD4085" w:rsidP="00CD4085">
            <w:pPr>
              <w:jc w:val="right"/>
              <w:rPr>
                <w:rFonts w:cs="Arial"/>
                <w:color w:val="000000"/>
                <w:spacing w:val="0"/>
                <w:sz w:val="22"/>
                <w:szCs w:val="22"/>
                <w:lang w:eastAsia="en-GB"/>
              </w:rPr>
            </w:pPr>
            <w:r>
              <w:rPr>
                <w:rFonts w:cs="Arial"/>
                <w:color w:val="000000"/>
                <w:spacing w:val="0"/>
                <w:sz w:val="22"/>
                <w:szCs w:val="22"/>
                <w:lang w:eastAsia="en-GB"/>
              </w:rPr>
              <w:t>0</w:t>
            </w:r>
          </w:p>
        </w:tc>
      </w:tr>
      <w:tr w:rsidR="00CD4085" w:rsidRPr="004228A3" w14:paraId="637221E5" w14:textId="77777777" w:rsidTr="005B7DBD">
        <w:trPr>
          <w:trHeight w:val="271"/>
        </w:trPr>
        <w:tc>
          <w:tcPr>
            <w:tcW w:w="4560" w:type="dxa"/>
            <w:noWrap/>
            <w:vAlign w:val="bottom"/>
            <w:hideMark/>
          </w:tcPr>
          <w:p w14:paraId="75602061" w14:textId="77777777" w:rsidR="00CD4085" w:rsidRPr="004228A3" w:rsidRDefault="00CD4085" w:rsidP="00CD4085">
            <w:pPr>
              <w:rPr>
                <w:rFonts w:cs="Arial"/>
                <w:color w:val="000000"/>
                <w:spacing w:val="0"/>
                <w:sz w:val="22"/>
                <w:szCs w:val="22"/>
                <w:lang w:eastAsia="en-GB"/>
              </w:rPr>
            </w:pPr>
            <w:r w:rsidRPr="004228A3">
              <w:rPr>
                <w:rFonts w:cs="Arial"/>
                <w:color w:val="000000"/>
                <w:spacing w:val="0"/>
                <w:sz w:val="22"/>
                <w:szCs w:val="22"/>
                <w:lang w:eastAsia="en-GB"/>
              </w:rPr>
              <w:t>Sustainability</w:t>
            </w:r>
          </w:p>
        </w:tc>
        <w:tc>
          <w:tcPr>
            <w:tcW w:w="1504" w:type="dxa"/>
            <w:noWrap/>
            <w:hideMark/>
          </w:tcPr>
          <w:p w14:paraId="03C73057" w14:textId="77777777" w:rsidR="00CD4085" w:rsidRPr="004228A3" w:rsidRDefault="00CD4085" w:rsidP="00CD4085">
            <w:pPr>
              <w:jc w:val="right"/>
              <w:rPr>
                <w:rFonts w:cs="Arial"/>
                <w:color w:val="000000"/>
                <w:spacing w:val="0"/>
                <w:sz w:val="22"/>
                <w:szCs w:val="22"/>
                <w:lang w:eastAsia="en-GB"/>
              </w:rPr>
            </w:pPr>
            <w:r w:rsidRPr="004228A3">
              <w:rPr>
                <w:rFonts w:cs="Arial"/>
                <w:color w:val="000000"/>
                <w:spacing w:val="0"/>
                <w:sz w:val="22"/>
                <w:szCs w:val="22"/>
                <w:lang w:eastAsia="en-GB"/>
              </w:rPr>
              <w:t>1,165,000</w:t>
            </w:r>
          </w:p>
        </w:tc>
        <w:tc>
          <w:tcPr>
            <w:tcW w:w="1504" w:type="dxa"/>
          </w:tcPr>
          <w:p w14:paraId="0B9630D5" w14:textId="77777777" w:rsidR="00CD4085" w:rsidRPr="004228A3" w:rsidRDefault="00CD4085" w:rsidP="00CD4085">
            <w:pPr>
              <w:jc w:val="right"/>
              <w:rPr>
                <w:rFonts w:cs="Arial"/>
                <w:color w:val="000000"/>
                <w:spacing w:val="0"/>
                <w:sz w:val="22"/>
                <w:szCs w:val="22"/>
                <w:lang w:eastAsia="en-GB"/>
              </w:rPr>
            </w:pPr>
            <w:r w:rsidRPr="004228A3">
              <w:rPr>
                <w:rFonts w:cs="Arial"/>
                <w:color w:val="000000"/>
                <w:spacing w:val="0"/>
                <w:sz w:val="22"/>
                <w:szCs w:val="22"/>
                <w:lang w:eastAsia="en-GB"/>
              </w:rPr>
              <w:t>1,165,000</w:t>
            </w:r>
          </w:p>
        </w:tc>
        <w:tc>
          <w:tcPr>
            <w:tcW w:w="1504" w:type="dxa"/>
          </w:tcPr>
          <w:p w14:paraId="1BDC09D6" w14:textId="77777777" w:rsidR="00CD4085" w:rsidRPr="004228A3" w:rsidRDefault="00CD4085" w:rsidP="00CD4085">
            <w:pPr>
              <w:jc w:val="right"/>
              <w:rPr>
                <w:rFonts w:cs="Arial"/>
                <w:color w:val="000000"/>
                <w:spacing w:val="0"/>
                <w:sz w:val="22"/>
                <w:szCs w:val="22"/>
                <w:lang w:eastAsia="en-GB"/>
              </w:rPr>
            </w:pPr>
            <w:r>
              <w:rPr>
                <w:rFonts w:cs="Arial"/>
                <w:color w:val="000000"/>
                <w:spacing w:val="0"/>
                <w:sz w:val="22"/>
                <w:szCs w:val="22"/>
                <w:lang w:eastAsia="en-GB"/>
              </w:rPr>
              <w:t>0</w:t>
            </w:r>
          </w:p>
        </w:tc>
      </w:tr>
      <w:tr w:rsidR="00CD4085" w:rsidRPr="004228A3" w14:paraId="35BB215C" w14:textId="77777777" w:rsidTr="00CD4085">
        <w:trPr>
          <w:trHeight w:val="261"/>
        </w:trPr>
        <w:tc>
          <w:tcPr>
            <w:tcW w:w="4560" w:type="dxa"/>
            <w:noWrap/>
            <w:vAlign w:val="bottom"/>
          </w:tcPr>
          <w:p w14:paraId="2C8B2F26" w14:textId="77777777" w:rsidR="00CD4085" w:rsidRPr="00CD4085" w:rsidRDefault="003C69FD" w:rsidP="00CD4085">
            <w:pPr>
              <w:rPr>
                <w:rFonts w:cs="Arial"/>
                <w:bCs/>
                <w:color w:val="000000"/>
                <w:spacing w:val="0"/>
                <w:sz w:val="22"/>
                <w:szCs w:val="22"/>
                <w:lang w:eastAsia="en-GB"/>
              </w:rPr>
            </w:pPr>
            <w:r>
              <w:rPr>
                <w:rFonts w:cs="Arial"/>
                <w:bCs/>
                <w:color w:val="000000"/>
                <w:spacing w:val="0"/>
                <w:sz w:val="22"/>
                <w:szCs w:val="22"/>
                <w:lang w:eastAsia="en-GB"/>
              </w:rPr>
              <w:t xml:space="preserve">Additional </w:t>
            </w:r>
            <w:r w:rsidR="00CD4085" w:rsidRPr="00CD4085">
              <w:rPr>
                <w:rFonts w:cs="Arial"/>
                <w:bCs/>
                <w:color w:val="000000"/>
                <w:spacing w:val="0"/>
                <w:sz w:val="22"/>
                <w:szCs w:val="22"/>
                <w:lang w:eastAsia="en-GB"/>
              </w:rPr>
              <w:t>4 Heart &amp; Lung Machines</w:t>
            </w:r>
            <w:r>
              <w:rPr>
                <w:rFonts w:cs="Arial"/>
                <w:bCs/>
                <w:color w:val="000000"/>
                <w:spacing w:val="0"/>
                <w:sz w:val="22"/>
                <w:szCs w:val="22"/>
                <w:lang w:eastAsia="en-GB"/>
              </w:rPr>
              <w:t xml:space="preserve"> (NIB) </w:t>
            </w:r>
          </w:p>
        </w:tc>
        <w:tc>
          <w:tcPr>
            <w:tcW w:w="1504" w:type="dxa"/>
            <w:noWrap/>
            <w:vAlign w:val="bottom"/>
          </w:tcPr>
          <w:p w14:paraId="729CA04A" w14:textId="77777777" w:rsidR="00CD4085" w:rsidRPr="00CD4085" w:rsidRDefault="00CD4085" w:rsidP="00CD4085">
            <w:pPr>
              <w:jc w:val="right"/>
              <w:rPr>
                <w:rFonts w:cs="Arial"/>
                <w:bCs/>
                <w:color w:val="000000"/>
                <w:spacing w:val="0"/>
                <w:sz w:val="22"/>
                <w:szCs w:val="22"/>
                <w:lang w:eastAsia="en-GB"/>
              </w:rPr>
            </w:pPr>
            <w:r>
              <w:rPr>
                <w:rFonts w:cs="Arial"/>
                <w:bCs/>
                <w:color w:val="000000"/>
                <w:spacing w:val="0"/>
                <w:sz w:val="22"/>
                <w:szCs w:val="22"/>
                <w:lang w:eastAsia="en-GB"/>
              </w:rPr>
              <w:t>0</w:t>
            </w:r>
          </w:p>
        </w:tc>
        <w:tc>
          <w:tcPr>
            <w:tcW w:w="1504" w:type="dxa"/>
          </w:tcPr>
          <w:p w14:paraId="7DBE2EC4" w14:textId="77777777" w:rsidR="00CD4085" w:rsidRPr="00CD4085" w:rsidRDefault="00CD4085" w:rsidP="00CD4085">
            <w:pPr>
              <w:jc w:val="right"/>
              <w:rPr>
                <w:rFonts w:cs="Arial"/>
                <w:bCs/>
                <w:color w:val="000000"/>
                <w:spacing w:val="0"/>
                <w:sz w:val="22"/>
                <w:szCs w:val="22"/>
                <w:lang w:eastAsia="en-GB"/>
              </w:rPr>
            </w:pPr>
            <w:r w:rsidRPr="00CD4085">
              <w:rPr>
                <w:rFonts w:cs="Arial"/>
                <w:bCs/>
                <w:color w:val="000000"/>
                <w:spacing w:val="0"/>
                <w:sz w:val="22"/>
                <w:szCs w:val="22"/>
                <w:lang w:eastAsia="en-GB"/>
              </w:rPr>
              <w:t>994,619</w:t>
            </w:r>
          </w:p>
        </w:tc>
        <w:tc>
          <w:tcPr>
            <w:tcW w:w="1504" w:type="dxa"/>
          </w:tcPr>
          <w:p w14:paraId="04150706" w14:textId="77777777" w:rsidR="00CD4085" w:rsidRPr="00CD4085" w:rsidRDefault="00CD4085" w:rsidP="00CD4085">
            <w:pPr>
              <w:jc w:val="right"/>
              <w:rPr>
                <w:rFonts w:cs="Arial"/>
                <w:bCs/>
                <w:color w:val="000000"/>
                <w:spacing w:val="0"/>
                <w:sz w:val="22"/>
                <w:szCs w:val="22"/>
                <w:lang w:eastAsia="en-GB"/>
              </w:rPr>
            </w:pPr>
            <w:r w:rsidRPr="00CD4085">
              <w:rPr>
                <w:rFonts w:cs="Arial"/>
                <w:bCs/>
                <w:color w:val="000000"/>
                <w:spacing w:val="0"/>
                <w:sz w:val="22"/>
                <w:szCs w:val="22"/>
                <w:lang w:eastAsia="en-GB"/>
              </w:rPr>
              <w:t>994,619</w:t>
            </w:r>
          </w:p>
        </w:tc>
      </w:tr>
      <w:tr w:rsidR="00CD4085" w:rsidRPr="004228A3" w14:paraId="2B24C4A7" w14:textId="77777777" w:rsidTr="00CD4085">
        <w:trPr>
          <w:trHeight w:val="261"/>
        </w:trPr>
        <w:tc>
          <w:tcPr>
            <w:tcW w:w="4560" w:type="dxa"/>
            <w:noWrap/>
            <w:vAlign w:val="bottom"/>
          </w:tcPr>
          <w:p w14:paraId="66FB9864" w14:textId="77777777" w:rsidR="00CD4085" w:rsidRPr="00CD4085" w:rsidRDefault="00CD4085" w:rsidP="00CD4085">
            <w:pPr>
              <w:rPr>
                <w:rFonts w:cs="Arial"/>
                <w:bCs/>
                <w:color w:val="000000"/>
                <w:spacing w:val="0"/>
                <w:sz w:val="22"/>
                <w:szCs w:val="22"/>
                <w:lang w:eastAsia="en-GB"/>
              </w:rPr>
            </w:pPr>
            <w:r w:rsidRPr="00CD4085">
              <w:rPr>
                <w:rFonts w:cs="Arial"/>
                <w:bCs/>
                <w:color w:val="000000"/>
                <w:spacing w:val="0"/>
                <w:sz w:val="22"/>
                <w:szCs w:val="22"/>
                <w:lang w:eastAsia="en-GB"/>
              </w:rPr>
              <w:t>Cath Lab 4</w:t>
            </w:r>
            <w:r w:rsidR="009E7173">
              <w:rPr>
                <w:rFonts w:cs="Arial"/>
                <w:bCs/>
                <w:color w:val="000000"/>
                <w:spacing w:val="0"/>
                <w:sz w:val="22"/>
                <w:szCs w:val="22"/>
                <w:lang w:eastAsia="en-GB"/>
              </w:rPr>
              <w:t xml:space="preserve"> (NIB)</w:t>
            </w:r>
          </w:p>
        </w:tc>
        <w:tc>
          <w:tcPr>
            <w:tcW w:w="1504" w:type="dxa"/>
            <w:noWrap/>
            <w:vAlign w:val="bottom"/>
          </w:tcPr>
          <w:p w14:paraId="5D122997" w14:textId="77777777" w:rsidR="00CD4085" w:rsidRPr="00CD4085" w:rsidRDefault="00CD4085" w:rsidP="00CD4085">
            <w:pPr>
              <w:jc w:val="right"/>
              <w:rPr>
                <w:rFonts w:cs="Arial"/>
                <w:bCs/>
                <w:color w:val="000000"/>
                <w:spacing w:val="0"/>
                <w:sz w:val="22"/>
                <w:szCs w:val="22"/>
                <w:lang w:eastAsia="en-GB"/>
              </w:rPr>
            </w:pPr>
            <w:r>
              <w:rPr>
                <w:rFonts w:cs="Arial"/>
                <w:bCs/>
                <w:color w:val="000000"/>
                <w:spacing w:val="0"/>
                <w:sz w:val="22"/>
                <w:szCs w:val="22"/>
                <w:lang w:eastAsia="en-GB"/>
              </w:rPr>
              <w:t>0</w:t>
            </w:r>
          </w:p>
        </w:tc>
        <w:tc>
          <w:tcPr>
            <w:tcW w:w="1504" w:type="dxa"/>
          </w:tcPr>
          <w:p w14:paraId="1CD269F6" w14:textId="77777777" w:rsidR="00CD4085" w:rsidRPr="00CD4085" w:rsidRDefault="00CD4085" w:rsidP="00CD4085">
            <w:pPr>
              <w:jc w:val="right"/>
              <w:rPr>
                <w:rFonts w:cs="Arial"/>
                <w:bCs/>
                <w:color w:val="000000"/>
                <w:spacing w:val="0"/>
                <w:sz w:val="22"/>
                <w:szCs w:val="22"/>
                <w:lang w:eastAsia="en-GB"/>
              </w:rPr>
            </w:pPr>
            <w:r w:rsidRPr="00CD4085">
              <w:rPr>
                <w:rFonts w:cs="Arial"/>
                <w:bCs/>
                <w:color w:val="000000"/>
                <w:spacing w:val="0"/>
                <w:sz w:val="22"/>
                <w:szCs w:val="22"/>
                <w:lang w:eastAsia="en-GB"/>
              </w:rPr>
              <w:t>803,000</w:t>
            </w:r>
          </w:p>
        </w:tc>
        <w:tc>
          <w:tcPr>
            <w:tcW w:w="1504" w:type="dxa"/>
          </w:tcPr>
          <w:p w14:paraId="4F37CF9E" w14:textId="77777777" w:rsidR="00CD4085" w:rsidRPr="00CD4085" w:rsidRDefault="00CD4085" w:rsidP="00CD4085">
            <w:pPr>
              <w:jc w:val="right"/>
              <w:rPr>
                <w:rFonts w:cs="Arial"/>
                <w:bCs/>
                <w:color w:val="000000"/>
                <w:spacing w:val="0"/>
                <w:sz w:val="22"/>
                <w:szCs w:val="22"/>
                <w:lang w:eastAsia="en-GB"/>
              </w:rPr>
            </w:pPr>
            <w:r w:rsidRPr="00CD4085">
              <w:rPr>
                <w:rFonts w:cs="Arial"/>
                <w:bCs/>
                <w:color w:val="000000"/>
                <w:spacing w:val="0"/>
                <w:sz w:val="22"/>
                <w:szCs w:val="22"/>
                <w:lang w:eastAsia="en-GB"/>
              </w:rPr>
              <w:t>803,000</w:t>
            </w:r>
          </w:p>
        </w:tc>
      </w:tr>
      <w:tr w:rsidR="00CD4085" w:rsidRPr="004228A3" w14:paraId="291D7F79" w14:textId="77777777" w:rsidTr="00CD4085">
        <w:trPr>
          <w:trHeight w:val="261"/>
        </w:trPr>
        <w:tc>
          <w:tcPr>
            <w:tcW w:w="4560" w:type="dxa"/>
            <w:noWrap/>
            <w:vAlign w:val="bottom"/>
            <w:hideMark/>
          </w:tcPr>
          <w:p w14:paraId="3C9915DB" w14:textId="77777777" w:rsidR="00CD4085" w:rsidRPr="004228A3" w:rsidRDefault="00CD4085" w:rsidP="00CD4085">
            <w:pPr>
              <w:rPr>
                <w:rFonts w:cs="Arial"/>
                <w:b/>
                <w:bCs/>
                <w:color w:val="000000"/>
                <w:spacing w:val="0"/>
                <w:sz w:val="22"/>
                <w:szCs w:val="22"/>
                <w:lang w:eastAsia="en-GB"/>
              </w:rPr>
            </w:pPr>
            <w:r w:rsidRPr="004228A3">
              <w:rPr>
                <w:rFonts w:cs="Arial"/>
                <w:b/>
                <w:bCs/>
                <w:color w:val="000000"/>
                <w:spacing w:val="0"/>
                <w:sz w:val="22"/>
                <w:szCs w:val="22"/>
                <w:lang w:eastAsia="en-GB"/>
              </w:rPr>
              <w:t>Total Funding</w:t>
            </w:r>
          </w:p>
        </w:tc>
        <w:tc>
          <w:tcPr>
            <w:tcW w:w="1504" w:type="dxa"/>
            <w:noWrap/>
            <w:vAlign w:val="bottom"/>
            <w:hideMark/>
          </w:tcPr>
          <w:p w14:paraId="57E84E92" w14:textId="77777777" w:rsidR="00CD4085" w:rsidRPr="004228A3" w:rsidRDefault="00CD4085" w:rsidP="00CD4085">
            <w:pPr>
              <w:jc w:val="right"/>
              <w:rPr>
                <w:rFonts w:cs="Arial"/>
                <w:b/>
                <w:bCs/>
                <w:color w:val="000000"/>
                <w:spacing w:val="0"/>
                <w:sz w:val="22"/>
                <w:szCs w:val="22"/>
                <w:lang w:eastAsia="en-GB"/>
              </w:rPr>
            </w:pPr>
            <w:r w:rsidRPr="004228A3">
              <w:rPr>
                <w:rFonts w:cs="Arial"/>
                <w:b/>
                <w:bCs/>
                <w:color w:val="000000"/>
                <w:spacing w:val="0"/>
                <w:sz w:val="22"/>
                <w:szCs w:val="22"/>
                <w:lang w:eastAsia="en-GB"/>
              </w:rPr>
              <w:t>19,192,000</w:t>
            </w:r>
          </w:p>
        </w:tc>
        <w:tc>
          <w:tcPr>
            <w:tcW w:w="1504" w:type="dxa"/>
          </w:tcPr>
          <w:p w14:paraId="061B12FB" w14:textId="77777777" w:rsidR="00CD4085" w:rsidRPr="004228A3" w:rsidRDefault="00F57E23" w:rsidP="00CD4085">
            <w:pPr>
              <w:jc w:val="right"/>
              <w:rPr>
                <w:rFonts w:cs="Arial"/>
                <w:b/>
                <w:bCs/>
                <w:color w:val="000000"/>
                <w:spacing w:val="0"/>
                <w:sz w:val="22"/>
                <w:szCs w:val="22"/>
                <w:lang w:eastAsia="en-GB"/>
              </w:rPr>
            </w:pPr>
            <w:r>
              <w:rPr>
                <w:rFonts w:cs="Arial"/>
                <w:b/>
                <w:bCs/>
                <w:color w:val="000000"/>
                <w:spacing w:val="0"/>
                <w:sz w:val="22"/>
                <w:szCs w:val="22"/>
                <w:lang w:eastAsia="en-GB"/>
              </w:rPr>
              <w:t>19,189,619</w:t>
            </w:r>
          </w:p>
        </w:tc>
        <w:tc>
          <w:tcPr>
            <w:tcW w:w="1504" w:type="dxa"/>
          </w:tcPr>
          <w:p w14:paraId="57B3D5CA" w14:textId="77777777" w:rsidR="00CD4085" w:rsidRPr="004228A3" w:rsidRDefault="00CD4085" w:rsidP="00CD4085">
            <w:pPr>
              <w:jc w:val="right"/>
              <w:rPr>
                <w:rFonts w:cs="Arial"/>
                <w:b/>
                <w:bCs/>
                <w:color w:val="000000"/>
                <w:spacing w:val="0"/>
                <w:sz w:val="22"/>
                <w:szCs w:val="22"/>
                <w:lang w:eastAsia="en-GB"/>
              </w:rPr>
            </w:pPr>
            <w:r>
              <w:rPr>
                <w:rFonts w:cs="Arial"/>
                <w:b/>
                <w:bCs/>
                <w:color w:val="000000"/>
                <w:spacing w:val="0"/>
                <w:sz w:val="22"/>
                <w:szCs w:val="22"/>
                <w:lang w:eastAsia="en-GB"/>
              </w:rPr>
              <w:t>(2,381)</w:t>
            </w:r>
          </w:p>
        </w:tc>
      </w:tr>
    </w:tbl>
    <w:p w14:paraId="6BB01DAB" w14:textId="77777777" w:rsidR="00CD4085" w:rsidRDefault="00CD4085" w:rsidP="000265BA">
      <w:pPr>
        <w:autoSpaceDE w:val="0"/>
        <w:autoSpaceDN w:val="0"/>
        <w:adjustRightInd w:val="0"/>
        <w:ind w:left="686"/>
        <w:jc w:val="both"/>
        <w:rPr>
          <w:rFonts w:eastAsiaTheme="minorHAnsi" w:cs="Arial"/>
          <w:spacing w:val="0"/>
          <w:szCs w:val="24"/>
        </w:rPr>
      </w:pPr>
    </w:p>
    <w:p w14:paraId="5E6F2BB8" w14:textId="77777777" w:rsidR="00F57E23" w:rsidRDefault="003C69FD" w:rsidP="001D53E0">
      <w:pPr>
        <w:pStyle w:val="ListParagraph"/>
        <w:numPr>
          <w:ilvl w:val="0"/>
          <w:numId w:val="29"/>
        </w:numPr>
        <w:autoSpaceDE w:val="0"/>
        <w:autoSpaceDN w:val="0"/>
        <w:adjustRightInd w:val="0"/>
        <w:ind w:left="686" w:hanging="260"/>
        <w:rPr>
          <w:rFonts w:ascii="Arial" w:eastAsiaTheme="minorHAnsi" w:hAnsi="Arial" w:cs="Arial"/>
          <w:sz w:val="24"/>
          <w:szCs w:val="24"/>
        </w:rPr>
      </w:pPr>
      <w:r>
        <w:rPr>
          <w:rFonts w:ascii="Arial" w:eastAsiaTheme="minorHAnsi" w:hAnsi="Arial" w:cs="Arial"/>
          <w:sz w:val="24"/>
          <w:szCs w:val="24"/>
        </w:rPr>
        <w:t xml:space="preserve">The Board have been successful in its bids to </w:t>
      </w:r>
      <w:r w:rsidR="00F57E23">
        <w:rPr>
          <w:rFonts w:ascii="Arial" w:eastAsiaTheme="minorHAnsi" w:hAnsi="Arial" w:cs="Arial"/>
          <w:sz w:val="24"/>
          <w:szCs w:val="24"/>
        </w:rPr>
        <w:t xml:space="preserve">The National Investment Board (NIB) </w:t>
      </w:r>
      <w:r>
        <w:rPr>
          <w:rFonts w:ascii="Arial" w:eastAsiaTheme="minorHAnsi" w:hAnsi="Arial" w:cs="Arial"/>
          <w:sz w:val="24"/>
          <w:szCs w:val="24"/>
        </w:rPr>
        <w:t xml:space="preserve">who </w:t>
      </w:r>
      <w:r w:rsidR="00F57E23">
        <w:rPr>
          <w:rFonts w:ascii="Arial" w:eastAsiaTheme="minorHAnsi" w:hAnsi="Arial" w:cs="Arial"/>
          <w:sz w:val="24"/>
          <w:szCs w:val="24"/>
        </w:rPr>
        <w:t xml:space="preserve">have awarded a further £1.8m in funding. This specifically funds the final four heart &amp; </w:t>
      </w:r>
      <w:r w:rsidR="00F57E23">
        <w:rPr>
          <w:rFonts w:ascii="Arial" w:eastAsiaTheme="minorHAnsi" w:hAnsi="Arial" w:cs="Arial"/>
          <w:sz w:val="24"/>
          <w:szCs w:val="24"/>
        </w:rPr>
        <w:lastRenderedPageBreak/>
        <w:t xml:space="preserve">lung machines (£1m), as well as fast tracking Cath Lab 4 (£0.8m), which was originally planned for 2026/27 (NIB has also confirmed £0.2m turnkey costs funding for Cath Lab 4 for 2026/27). </w:t>
      </w:r>
    </w:p>
    <w:p w14:paraId="69ED22C2" w14:textId="77777777" w:rsidR="00F57E23" w:rsidRDefault="00F57E23" w:rsidP="001D53E0">
      <w:pPr>
        <w:pStyle w:val="ListParagraph"/>
        <w:numPr>
          <w:ilvl w:val="0"/>
          <w:numId w:val="29"/>
        </w:numPr>
        <w:autoSpaceDE w:val="0"/>
        <w:autoSpaceDN w:val="0"/>
        <w:adjustRightInd w:val="0"/>
        <w:ind w:left="686" w:hanging="260"/>
        <w:rPr>
          <w:rFonts w:ascii="Arial" w:eastAsiaTheme="minorHAnsi" w:hAnsi="Arial" w:cs="Arial"/>
          <w:sz w:val="24"/>
          <w:szCs w:val="24"/>
        </w:rPr>
      </w:pPr>
      <w:r>
        <w:rPr>
          <w:rFonts w:ascii="Arial" w:eastAsiaTheme="minorHAnsi" w:hAnsi="Arial" w:cs="Arial"/>
          <w:sz w:val="24"/>
          <w:szCs w:val="24"/>
        </w:rPr>
        <w:t>Funding for phase 2</w:t>
      </w:r>
      <w:r w:rsidR="009E7173">
        <w:rPr>
          <w:rFonts w:ascii="Arial" w:eastAsiaTheme="minorHAnsi" w:hAnsi="Arial" w:cs="Arial"/>
          <w:sz w:val="24"/>
          <w:szCs w:val="24"/>
        </w:rPr>
        <w:t xml:space="preserve"> is ring fenced and</w:t>
      </w:r>
      <w:r>
        <w:rPr>
          <w:rFonts w:ascii="Arial" w:eastAsiaTheme="minorHAnsi" w:hAnsi="Arial" w:cs="Arial"/>
          <w:sz w:val="24"/>
          <w:szCs w:val="24"/>
        </w:rPr>
        <w:t xml:space="preserve"> has been reduced in line with the expenditure forecasts.</w:t>
      </w:r>
    </w:p>
    <w:p w14:paraId="495B626A" w14:textId="77777777" w:rsidR="00F57E23" w:rsidRDefault="00F57E23" w:rsidP="001D53E0">
      <w:pPr>
        <w:autoSpaceDE w:val="0"/>
        <w:autoSpaceDN w:val="0"/>
        <w:adjustRightInd w:val="0"/>
        <w:ind w:left="686"/>
        <w:rPr>
          <w:rFonts w:eastAsiaTheme="minorHAnsi" w:cs="Arial"/>
          <w:spacing w:val="0"/>
          <w:szCs w:val="24"/>
        </w:rPr>
      </w:pPr>
    </w:p>
    <w:p w14:paraId="51DB529A" w14:textId="77777777" w:rsidR="00F57E23" w:rsidRDefault="004E7CBB" w:rsidP="001D53E0">
      <w:pPr>
        <w:autoSpaceDE w:val="0"/>
        <w:autoSpaceDN w:val="0"/>
        <w:adjustRightInd w:val="0"/>
        <w:ind w:left="686"/>
        <w:rPr>
          <w:rFonts w:eastAsiaTheme="minorHAnsi" w:cs="Arial"/>
          <w:spacing w:val="0"/>
          <w:szCs w:val="24"/>
        </w:rPr>
      </w:pPr>
      <w:r>
        <w:rPr>
          <w:rFonts w:eastAsiaTheme="minorHAnsi" w:cs="Arial"/>
          <w:spacing w:val="0"/>
          <w:szCs w:val="24"/>
        </w:rPr>
        <w:t>At month 5, total allocated funding amounted to £19.6m.</w:t>
      </w:r>
      <w:r w:rsidR="0062122C">
        <w:rPr>
          <w:rFonts w:eastAsiaTheme="minorHAnsi" w:cs="Arial"/>
          <w:spacing w:val="0"/>
          <w:szCs w:val="24"/>
        </w:rPr>
        <w:t xml:space="preserve"> The following shows a summary of the movements - </w:t>
      </w:r>
    </w:p>
    <w:p w14:paraId="65FCAC78" w14:textId="77777777" w:rsidR="00F57E23" w:rsidRDefault="00F57E23" w:rsidP="000265BA">
      <w:pPr>
        <w:autoSpaceDE w:val="0"/>
        <w:autoSpaceDN w:val="0"/>
        <w:adjustRightInd w:val="0"/>
        <w:ind w:left="686"/>
        <w:jc w:val="both"/>
        <w:rPr>
          <w:rFonts w:eastAsiaTheme="minorHAnsi" w:cs="Arial"/>
          <w:spacing w:val="0"/>
          <w:szCs w:val="24"/>
        </w:rPr>
      </w:pPr>
    </w:p>
    <w:tbl>
      <w:tblPr>
        <w:tblW w:w="9072"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1504"/>
        <w:gridCol w:w="1504"/>
        <w:gridCol w:w="1504"/>
      </w:tblGrid>
      <w:tr w:rsidR="00F57E23" w:rsidRPr="004228A3" w14:paraId="4C625B61" w14:textId="77777777" w:rsidTr="00F57E23">
        <w:trPr>
          <w:trHeight w:val="600"/>
        </w:trPr>
        <w:tc>
          <w:tcPr>
            <w:tcW w:w="4560" w:type="dxa"/>
            <w:vAlign w:val="center"/>
            <w:hideMark/>
          </w:tcPr>
          <w:p w14:paraId="29715F39" w14:textId="77777777" w:rsidR="00F57E23" w:rsidRDefault="00F57E23" w:rsidP="003F3E97">
            <w:pPr>
              <w:rPr>
                <w:rFonts w:cs="Arial"/>
                <w:b/>
                <w:bCs/>
                <w:color w:val="000000"/>
                <w:spacing w:val="0"/>
                <w:sz w:val="22"/>
                <w:szCs w:val="22"/>
                <w:lang w:eastAsia="en-GB"/>
              </w:rPr>
            </w:pPr>
          </w:p>
          <w:p w14:paraId="7D5EC932" w14:textId="77777777" w:rsidR="00F57E23" w:rsidRDefault="00F57E23" w:rsidP="003F3E97">
            <w:pPr>
              <w:rPr>
                <w:rFonts w:cs="Arial"/>
                <w:b/>
                <w:bCs/>
                <w:color w:val="000000"/>
                <w:spacing w:val="0"/>
                <w:sz w:val="22"/>
                <w:szCs w:val="22"/>
                <w:lang w:eastAsia="en-GB"/>
              </w:rPr>
            </w:pPr>
          </w:p>
          <w:p w14:paraId="38598BE9" w14:textId="77777777" w:rsidR="00F57E23" w:rsidRPr="004228A3" w:rsidRDefault="00F57E23" w:rsidP="003F3E97">
            <w:pPr>
              <w:rPr>
                <w:rFonts w:cs="Arial"/>
                <w:b/>
                <w:bCs/>
                <w:color w:val="000000"/>
                <w:spacing w:val="0"/>
                <w:sz w:val="22"/>
                <w:szCs w:val="22"/>
                <w:lang w:eastAsia="en-GB"/>
              </w:rPr>
            </w:pPr>
            <w:r w:rsidRPr="004228A3">
              <w:rPr>
                <w:rFonts w:cs="Arial"/>
                <w:b/>
                <w:bCs/>
                <w:color w:val="000000"/>
                <w:spacing w:val="0"/>
                <w:sz w:val="22"/>
                <w:szCs w:val="22"/>
                <w:lang w:eastAsia="en-GB"/>
              </w:rPr>
              <w:t>FUNDING</w:t>
            </w:r>
            <w:r>
              <w:rPr>
                <w:rFonts w:cs="Arial"/>
                <w:b/>
                <w:bCs/>
                <w:color w:val="000000"/>
                <w:spacing w:val="0"/>
                <w:sz w:val="22"/>
                <w:szCs w:val="22"/>
                <w:lang w:eastAsia="en-GB"/>
              </w:rPr>
              <w:t xml:space="preserve"> ALLOCATED</w:t>
            </w:r>
          </w:p>
        </w:tc>
        <w:tc>
          <w:tcPr>
            <w:tcW w:w="1504" w:type="dxa"/>
            <w:vAlign w:val="center"/>
            <w:hideMark/>
          </w:tcPr>
          <w:p w14:paraId="5E593027" w14:textId="77777777" w:rsidR="00F57E23" w:rsidRDefault="00F57E23" w:rsidP="003F3E97">
            <w:pPr>
              <w:jc w:val="center"/>
              <w:rPr>
                <w:rFonts w:cs="Arial"/>
                <w:b/>
                <w:bCs/>
                <w:color w:val="000000"/>
                <w:spacing w:val="0"/>
                <w:sz w:val="22"/>
                <w:szCs w:val="22"/>
                <w:lang w:eastAsia="en-GB"/>
              </w:rPr>
            </w:pPr>
            <w:r w:rsidRPr="004228A3">
              <w:rPr>
                <w:rFonts w:cs="Arial"/>
                <w:b/>
                <w:bCs/>
                <w:color w:val="000000"/>
                <w:spacing w:val="0"/>
                <w:sz w:val="22"/>
                <w:szCs w:val="22"/>
                <w:lang w:eastAsia="en-GB"/>
              </w:rPr>
              <w:t xml:space="preserve">Baseline </w:t>
            </w:r>
          </w:p>
          <w:p w14:paraId="1E991F16" w14:textId="77777777" w:rsidR="00F57E23" w:rsidRDefault="00F57E23" w:rsidP="003F3E97">
            <w:pPr>
              <w:jc w:val="center"/>
              <w:rPr>
                <w:rFonts w:cs="Arial"/>
                <w:b/>
                <w:bCs/>
                <w:color w:val="000000"/>
                <w:spacing w:val="0"/>
                <w:sz w:val="22"/>
                <w:szCs w:val="22"/>
                <w:lang w:eastAsia="en-GB"/>
              </w:rPr>
            </w:pPr>
            <w:r>
              <w:rPr>
                <w:rFonts w:cs="Arial"/>
                <w:b/>
                <w:bCs/>
                <w:color w:val="000000"/>
                <w:spacing w:val="0"/>
                <w:sz w:val="22"/>
                <w:szCs w:val="22"/>
                <w:lang w:eastAsia="en-GB"/>
              </w:rPr>
              <w:t xml:space="preserve">Allocated </w:t>
            </w:r>
            <w:r w:rsidRPr="004228A3">
              <w:rPr>
                <w:rFonts w:cs="Arial"/>
                <w:b/>
                <w:bCs/>
                <w:color w:val="000000"/>
                <w:spacing w:val="0"/>
                <w:sz w:val="22"/>
                <w:szCs w:val="22"/>
                <w:lang w:eastAsia="en-GB"/>
              </w:rPr>
              <w:t>Funding</w:t>
            </w:r>
          </w:p>
          <w:p w14:paraId="734A5D70" w14:textId="77777777" w:rsidR="00F57E23" w:rsidRPr="004228A3" w:rsidRDefault="00F57E23" w:rsidP="003F3E97">
            <w:pPr>
              <w:jc w:val="center"/>
              <w:rPr>
                <w:rFonts w:cs="Arial"/>
                <w:b/>
                <w:bCs/>
                <w:color w:val="000000"/>
                <w:spacing w:val="0"/>
                <w:sz w:val="22"/>
                <w:szCs w:val="22"/>
                <w:lang w:eastAsia="en-GB"/>
              </w:rPr>
            </w:pPr>
            <w:r>
              <w:rPr>
                <w:rFonts w:cs="Arial"/>
                <w:b/>
                <w:bCs/>
                <w:color w:val="000000"/>
                <w:spacing w:val="0"/>
                <w:sz w:val="22"/>
                <w:szCs w:val="22"/>
                <w:lang w:eastAsia="en-GB"/>
              </w:rPr>
              <w:t>£</w:t>
            </w:r>
          </w:p>
        </w:tc>
        <w:tc>
          <w:tcPr>
            <w:tcW w:w="1504" w:type="dxa"/>
          </w:tcPr>
          <w:p w14:paraId="06EF98B6" w14:textId="77777777" w:rsidR="00F57E23" w:rsidRDefault="00F57E23" w:rsidP="003F3E97">
            <w:pPr>
              <w:jc w:val="center"/>
              <w:rPr>
                <w:rFonts w:cs="Arial"/>
                <w:b/>
                <w:bCs/>
                <w:color w:val="000000"/>
                <w:spacing w:val="0"/>
                <w:sz w:val="22"/>
                <w:szCs w:val="22"/>
                <w:lang w:eastAsia="en-GB"/>
              </w:rPr>
            </w:pPr>
            <w:r>
              <w:rPr>
                <w:rFonts w:cs="Arial"/>
                <w:b/>
                <w:bCs/>
                <w:color w:val="000000"/>
                <w:spacing w:val="0"/>
                <w:sz w:val="22"/>
                <w:szCs w:val="22"/>
                <w:lang w:eastAsia="en-GB"/>
              </w:rPr>
              <w:t>Allocated Funding at M5</w:t>
            </w:r>
          </w:p>
          <w:p w14:paraId="30C23DE2" w14:textId="77777777" w:rsidR="00F57E23" w:rsidRPr="004228A3" w:rsidRDefault="00F57E23" w:rsidP="003F3E97">
            <w:pPr>
              <w:jc w:val="center"/>
              <w:rPr>
                <w:rFonts w:cs="Arial"/>
                <w:b/>
                <w:bCs/>
                <w:color w:val="000000"/>
                <w:spacing w:val="0"/>
                <w:sz w:val="22"/>
                <w:szCs w:val="22"/>
                <w:lang w:eastAsia="en-GB"/>
              </w:rPr>
            </w:pPr>
            <w:r>
              <w:rPr>
                <w:rFonts w:cs="Arial"/>
                <w:b/>
                <w:bCs/>
                <w:color w:val="000000"/>
                <w:spacing w:val="0"/>
                <w:sz w:val="22"/>
                <w:szCs w:val="22"/>
                <w:lang w:eastAsia="en-GB"/>
              </w:rPr>
              <w:t>£</w:t>
            </w:r>
          </w:p>
        </w:tc>
        <w:tc>
          <w:tcPr>
            <w:tcW w:w="1504" w:type="dxa"/>
          </w:tcPr>
          <w:p w14:paraId="26CCD0AF" w14:textId="77777777" w:rsidR="00F57E23" w:rsidRDefault="00F57E23" w:rsidP="003F3E97">
            <w:pPr>
              <w:jc w:val="center"/>
              <w:rPr>
                <w:rFonts w:cs="Arial"/>
                <w:b/>
                <w:bCs/>
                <w:color w:val="000000"/>
                <w:spacing w:val="0"/>
                <w:sz w:val="22"/>
                <w:szCs w:val="22"/>
                <w:lang w:eastAsia="en-GB"/>
              </w:rPr>
            </w:pPr>
          </w:p>
          <w:p w14:paraId="1A6E8B4A" w14:textId="77777777" w:rsidR="00F57E23" w:rsidRDefault="00F57E23" w:rsidP="003F3E97">
            <w:pPr>
              <w:jc w:val="center"/>
              <w:rPr>
                <w:rFonts w:cs="Arial"/>
                <w:b/>
                <w:bCs/>
                <w:color w:val="000000"/>
                <w:spacing w:val="0"/>
                <w:sz w:val="22"/>
                <w:szCs w:val="22"/>
                <w:lang w:eastAsia="en-GB"/>
              </w:rPr>
            </w:pPr>
          </w:p>
          <w:p w14:paraId="1DE254D3" w14:textId="77777777" w:rsidR="00F57E23" w:rsidRDefault="00F57E23" w:rsidP="003F3E97">
            <w:pPr>
              <w:jc w:val="center"/>
              <w:rPr>
                <w:rFonts w:cs="Arial"/>
                <w:b/>
                <w:bCs/>
                <w:color w:val="000000"/>
                <w:spacing w:val="0"/>
                <w:sz w:val="22"/>
                <w:szCs w:val="22"/>
                <w:lang w:eastAsia="en-GB"/>
              </w:rPr>
            </w:pPr>
            <w:r>
              <w:rPr>
                <w:rFonts w:cs="Arial"/>
                <w:b/>
                <w:bCs/>
                <w:color w:val="000000"/>
                <w:spacing w:val="0"/>
                <w:sz w:val="22"/>
                <w:szCs w:val="22"/>
                <w:lang w:eastAsia="en-GB"/>
              </w:rPr>
              <w:t>Movement</w:t>
            </w:r>
          </w:p>
          <w:p w14:paraId="0EDCEC4F" w14:textId="77777777" w:rsidR="00F57E23" w:rsidRPr="004228A3" w:rsidRDefault="00F57E23" w:rsidP="003F3E97">
            <w:pPr>
              <w:jc w:val="center"/>
              <w:rPr>
                <w:rFonts w:cs="Arial"/>
                <w:b/>
                <w:bCs/>
                <w:color w:val="000000"/>
                <w:spacing w:val="0"/>
                <w:sz w:val="22"/>
                <w:szCs w:val="22"/>
                <w:lang w:eastAsia="en-GB"/>
              </w:rPr>
            </w:pPr>
            <w:r>
              <w:rPr>
                <w:rFonts w:cs="Arial"/>
                <w:b/>
                <w:bCs/>
                <w:color w:val="000000"/>
                <w:spacing w:val="0"/>
                <w:sz w:val="22"/>
                <w:szCs w:val="22"/>
                <w:lang w:eastAsia="en-GB"/>
              </w:rPr>
              <w:t>£</w:t>
            </w:r>
          </w:p>
        </w:tc>
      </w:tr>
      <w:tr w:rsidR="00F57E23" w:rsidRPr="004228A3" w14:paraId="6881FAB0" w14:textId="77777777" w:rsidTr="00F57E23">
        <w:trPr>
          <w:trHeight w:val="219"/>
        </w:trPr>
        <w:tc>
          <w:tcPr>
            <w:tcW w:w="4560" w:type="dxa"/>
            <w:vAlign w:val="center"/>
            <w:hideMark/>
          </w:tcPr>
          <w:p w14:paraId="7458796B" w14:textId="77777777" w:rsidR="00F57E23" w:rsidRPr="004228A3" w:rsidRDefault="00F57E23" w:rsidP="003F3E97">
            <w:pPr>
              <w:rPr>
                <w:rFonts w:cs="Arial"/>
                <w:color w:val="000000"/>
                <w:spacing w:val="0"/>
                <w:sz w:val="22"/>
                <w:szCs w:val="22"/>
                <w:lang w:eastAsia="en-GB"/>
              </w:rPr>
            </w:pPr>
            <w:r w:rsidRPr="004228A3">
              <w:rPr>
                <w:rFonts w:cs="Arial"/>
                <w:color w:val="000000"/>
                <w:spacing w:val="0"/>
                <w:sz w:val="22"/>
                <w:szCs w:val="22"/>
                <w:lang w:eastAsia="en-GB"/>
              </w:rPr>
              <w:t>Phase 2 Hospital Expansion</w:t>
            </w:r>
          </w:p>
        </w:tc>
        <w:tc>
          <w:tcPr>
            <w:tcW w:w="1504" w:type="dxa"/>
            <w:vAlign w:val="center"/>
            <w:hideMark/>
          </w:tcPr>
          <w:p w14:paraId="0136EE45" w14:textId="77777777" w:rsidR="00F57E23" w:rsidRPr="004228A3" w:rsidRDefault="00F57E23" w:rsidP="003F3E97">
            <w:pPr>
              <w:jc w:val="right"/>
              <w:rPr>
                <w:rFonts w:cs="Arial"/>
                <w:color w:val="000000"/>
                <w:spacing w:val="0"/>
                <w:sz w:val="22"/>
                <w:szCs w:val="22"/>
                <w:lang w:eastAsia="en-GB"/>
              </w:rPr>
            </w:pPr>
            <w:r>
              <w:rPr>
                <w:rFonts w:cs="Arial"/>
                <w:color w:val="000000"/>
                <w:spacing w:val="0"/>
                <w:sz w:val="22"/>
                <w:szCs w:val="22"/>
                <w:lang w:eastAsia="en-GB"/>
              </w:rPr>
              <w:t>11,500,000</w:t>
            </w:r>
          </w:p>
        </w:tc>
        <w:tc>
          <w:tcPr>
            <w:tcW w:w="1504" w:type="dxa"/>
          </w:tcPr>
          <w:p w14:paraId="335F6BDD" w14:textId="77777777" w:rsidR="00F57E23" w:rsidRDefault="00F57E23" w:rsidP="003F3E97">
            <w:pPr>
              <w:jc w:val="right"/>
              <w:rPr>
                <w:rFonts w:cs="Arial"/>
                <w:color w:val="000000"/>
                <w:spacing w:val="0"/>
                <w:sz w:val="22"/>
                <w:szCs w:val="22"/>
                <w:lang w:eastAsia="en-GB"/>
              </w:rPr>
            </w:pPr>
            <w:r>
              <w:rPr>
                <w:rFonts w:cs="Arial"/>
                <w:color w:val="000000"/>
                <w:spacing w:val="0"/>
                <w:sz w:val="22"/>
                <w:szCs w:val="22"/>
                <w:lang w:eastAsia="en-GB"/>
              </w:rPr>
              <w:t>9,700,000</w:t>
            </w:r>
          </w:p>
        </w:tc>
        <w:tc>
          <w:tcPr>
            <w:tcW w:w="1504" w:type="dxa"/>
          </w:tcPr>
          <w:p w14:paraId="6EB9C9DC" w14:textId="77777777" w:rsidR="00F57E23" w:rsidRDefault="00F57E23" w:rsidP="003F3E97">
            <w:pPr>
              <w:jc w:val="right"/>
              <w:rPr>
                <w:rFonts w:cs="Arial"/>
                <w:color w:val="000000"/>
                <w:spacing w:val="0"/>
                <w:sz w:val="22"/>
                <w:szCs w:val="22"/>
                <w:lang w:eastAsia="en-GB"/>
              </w:rPr>
            </w:pPr>
            <w:r>
              <w:rPr>
                <w:rFonts w:cs="Arial"/>
                <w:color w:val="000000"/>
                <w:spacing w:val="0"/>
                <w:sz w:val="22"/>
                <w:szCs w:val="22"/>
                <w:lang w:eastAsia="en-GB"/>
              </w:rPr>
              <w:t>(1,800,000)</w:t>
            </w:r>
          </w:p>
        </w:tc>
      </w:tr>
      <w:tr w:rsidR="00F57E23" w:rsidRPr="004228A3" w14:paraId="184C903A" w14:textId="77777777" w:rsidTr="00F57E23">
        <w:trPr>
          <w:trHeight w:val="269"/>
        </w:trPr>
        <w:tc>
          <w:tcPr>
            <w:tcW w:w="4560" w:type="dxa"/>
            <w:noWrap/>
            <w:vAlign w:val="bottom"/>
            <w:hideMark/>
          </w:tcPr>
          <w:p w14:paraId="5D7B1A9C" w14:textId="77777777" w:rsidR="00F57E23" w:rsidRPr="004228A3" w:rsidRDefault="00F57E23" w:rsidP="003F3E97">
            <w:pPr>
              <w:rPr>
                <w:rFonts w:cs="Arial"/>
                <w:color w:val="000000"/>
                <w:spacing w:val="0"/>
                <w:sz w:val="22"/>
                <w:szCs w:val="22"/>
                <w:lang w:eastAsia="en-GB"/>
              </w:rPr>
            </w:pPr>
            <w:r>
              <w:rPr>
                <w:rFonts w:cs="Arial"/>
                <w:color w:val="000000"/>
                <w:spacing w:val="0"/>
                <w:sz w:val="22"/>
                <w:szCs w:val="22"/>
                <w:lang w:eastAsia="en-GB"/>
              </w:rPr>
              <w:t>Estates/BCP/Sustainability</w:t>
            </w:r>
          </w:p>
        </w:tc>
        <w:tc>
          <w:tcPr>
            <w:tcW w:w="1504" w:type="dxa"/>
            <w:noWrap/>
            <w:hideMark/>
          </w:tcPr>
          <w:p w14:paraId="56B8C95B" w14:textId="77777777" w:rsidR="00F57E23" w:rsidRPr="004228A3" w:rsidRDefault="00F57E23" w:rsidP="003F3E97">
            <w:pPr>
              <w:jc w:val="right"/>
              <w:rPr>
                <w:rFonts w:cs="Arial"/>
                <w:color w:val="000000"/>
                <w:spacing w:val="0"/>
                <w:sz w:val="22"/>
                <w:szCs w:val="22"/>
                <w:lang w:eastAsia="en-GB"/>
              </w:rPr>
            </w:pPr>
            <w:r>
              <w:rPr>
                <w:rFonts w:cs="Arial"/>
                <w:color w:val="000000"/>
                <w:spacing w:val="0"/>
                <w:sz w:val="22"/>
                <w:szCs w:val="22"/>
                <w:lang w:eastAsia="en-GB"/>
              </w:rPr>
              <w:t>4,489,289</w:t>
            </w:r>
          </w:p>
        </w:tc>
        <w:tc>
          <w:tcPr>
            <w:tcW w:w="1504" w:type="dxa"/>
          </w:tcPr>
          <w:p w14:paraId="0A119D7A" w14:textId="77777777" w:rsidR="00F57E23" w:rsidRDefault="00F57E23" w:rsidP="003F3E97">
            <w:pPr>
              <w:jc w:val="right"/>
              <w:rPr>
                <w:rFonts w:cs="Arial"/>
                <w:color w:val="000000"/>
                <w:spacing w:val="0"/>
                <w:sz w:val="22"/>
                <w:szCs w:val="22"/>
                <w:lang w:eastAsia="en-GB"/>
              </w:rPr>
            </w:pPr>
            <w:r>
              <w:rPr>
                <w:rFonts w:cs="Arial"/>
                <w:color w:val="000000"/>
                <w:spacing w:val="0"/>
                <w:sz w:val="22"/>
                <w:szCs w:val="22"/>
                <w:lang w:eastAsia="en-GB"/>
              </w:rPr>
              <w:t>4,489,289</w:t>
            </w:r>
          </w:p>
        </w:tc>
        <w:tc>
          <w:tcPr>
            <w:tcW w:w="1504" w:type="dxa"/>
          </w:tcPr>
          <w:p w14:paraId="60D2F6A2" w14:textId="77777777" w:rsidR="00F57E23" w:rsidRDefault="00F57E23" w:rsidP="003F3E97">
            <w:pPr>
              <w:jc w:val="right"/>
              <w:rPr>
                <w:rFonts w:cs="Arial"/>
                <w:color w:val="000000"/>
                <w:spacing w:val="0"/>
                <w:sz w:val="22"/>
                <w:szCs w:val="22"/>
                <w:lang w:eastAsia="en-GB"/>
              </w:rPr>
            </w:pPr>
          </w:p>
        </w:tc>
      </w:tr>
      <w:tr w:rsidR="00F57E23" w:rsidRPr="004228A3" w14:paraId="43FE62FA" w14:textId="77777777" w:rsidTr="00F57E23">
        <w:trPr>
          <w:trHeight w:val="241"/>
        </w:trPr>
        <w:tc>
          <w:tcPr>
            <w:tcW w:w="4560" w:type="dxa"/>
            <w:noWrap/>
            <w:vAlign w:val="bottom"/>
          </w:tcPr>
          <w:p w14:paraId="4C45BFB6" w14:textId="77777777" w:rsidR="00F57E23" w:rsidRPr="004228A3" w:rsidRDefault="00F57E23" w:rsidP="003F3E97">
            <w:pPr>
              <w:rPr>
                <w:rFonts w:cs="Arial"/>
                <w:color w:val="000000"/>
                <w:spacing w:val="0"/>
                <w:sz w:val="22"/>
                <w:szCs w:val="22"/>
                <w:lang w:eastAsia="en-GB"/>
              </w:rPr>
            </w:pPr>
            <w:r>
              <w:rPr>
                <w:rFonts w:cs="Arial"/>
                <w:color w:val="000000"/>
                <w:spacing w:val="0"/>
                <w:sz w:val="22"/>
                <w:szCs w:val="22"/>
                <w:lang w:eastAsia="en-GB"/>
              </w:rPr>
              <w:t>Medical Equipment</w:t>
            </w:r>
          </w:p>
        </w:tc>
        <w:tc>
          <w:tcPr>
            <w:tcW w:w="1504" w:type="dxa"/>
            <w:noWrap/>
          </w:tcPr>
          <w:p w14:paraId="2AD87D43" w14:textId="77777777" w:rsidR="00F57E23" w:rsidRPr="004228A3" w:rsidRDefault="00F57E23" w:rsidP="003F3E97">
            <w:pPr>
              <w:jc w:val="right"/>
              <w:rPr>
                <w:rFonts w:cs="Arial"/>
                <w:color w:val="000000"/>
                <w:spacing w:val="0"/>
                <w:sz w:val="22"/>
                <w:szCs w:val="22"/>
                <w:lang w:eastAsia="en-GB"/>
              </w:rPr>
            </w:pPr>
            <w:r>
              <w:rPr>
                <w:rFonts w:cs="Arial"/>
                <w:color w:val="000000"/>
                <w:spacing w:val="0"/>
                <w:sz w:val="22"/>
                <w:szCs w:val="22"/>
                <w:lang w:eastAsia="en-GB"/>
              </w:rPr>
              <w:t>3,486,511</w:t>
            </w:r>
          </w:p>
        </w:tc>
        <w:tc>
          <w:tcPr>
            <w:tcW w:w="1504" w:type="dxa"/>
          </w:tcPr>
          <w:p w14:paraId="4E4A4C81" w14:textId="77777777" w:rsidR="00F57E23" w:rsidRDefault="00F57E23" w:rsidP="003F3E97">
            <w:pPr>
              <w:jc w:val="right"/>
              <w:rPr>
                <w:rFonts w:cs="Arial"/>
                <w:color w:val="000000"/>
                <w:spacing w:val="0"/>
                <w:sz w:val="22"/>
                <w:szCs w:val="22"/>
                <w:lang w:eastAsia="en-GB"/>
              </w:rPr>
            </w:pPr>
            <w:r>
              <w:rPr>
                <w:rFonts w:cs="Arial"/>
                <w:color w:val="000000"/>
                <w:spacing w:val="0"/>
                <w:sz w:val="22"/>
                <w:szCs w:val="22"/>
                <w:lang w:eastAsia="en-GB"/>
              </w:rPr>
              <w:t>5,418,062</w:t>
            </w:r>
          </w:p>
        </w:tc>
        <w:tc>
          <w:tcPr>
            <w:tcW w:w="1504" w:type="dxa"/>
          </w:tcPr>
          <w:p w14:paraId="1365D08D" w14:textId="77777777" w:rsidR="00F57E23" w:rsidRDefault="00F57E23" w:rsidP="001229B5">
            <w:pPr>
              <w:jc w:val="right"/>
              <w:rPr>
                <w:rFonts w:cs="Arial"/>
                <w:color w:val="000000"/>
                <w:spacing w:val="0"/>
                <w:sz w:val="22"/>
                <w:szCs w:val="22"/>
                <w:lang w:eastAsia="en-GB"/>
              </w:rPr>
            </w:pPr>
            <w:r>
              <w:rPr>
                <w:rFonts w:cs="Arial"/>
                <w:color w:val="000000"/>
                <w:spacing w:val="0"/>
                <w:sz w:val="22"/>
                <w:szCs w:val="22"/>
                <w:lang w:eastAsia="en-GB"/>
              </w:rPr>
              <w:t>1,</w:t>
            </w:r>
            <w:r w:rsidR="001229B5">
              <w:rPr>
                <w:rFonts w:cs="Arial"/>
                <w:color w:val="000000"/>
                <w:spacing w:val="0"/>
                <w:sz w:val="22"/>
                <w:szCs w:val="22"/>
                <w:lang w:eastAsia="en-GB"/>
              </w:rPr>
              <w:t>824,271</w:t>
            </w:r>
          </w:p>
        </w:tc>
      </w:tr>
      <w:tr w:rsidR="00F57E23" w:rsidRPr="004228A3" w14:paraId="054C9FE0" w14:textId="77777777" w:rsidTr="00F57E23">
        <w:trPr>
          <w:trHeight w:val="273"/>
        </w:trPr>
        <w:tc>
          <w:tcPr>
            <w:tcW w:w="4560" w:type="dxa"/>
            <w:noWrap/>
            <w:vAlign w:val="bottom"/>
          </w:tcPr>
          <w:p w14:paraId="1127DBAD" w14:textId="77777777" w:rsidR="00F57E23" w:rsidRPr="004228A3" w:rsidRDefault="00F57E23" w:rsidP="003F3E97">
            <w:pPr>
              <w:rPr>
                <w:rFonts w:cs="Arial"/>
                <w:color w:val="000000"/>
                <w:spacing w:val="0"/>
                <w:sz w:val="22"/>
                <w:szCs w:val="22"/>
                <w:lang w:eastAsia="en-GB"/>
              </w:rPr>
            </w:pPr>
            <w:r>
              <w:rPr>
                <w:rFonts w:cs="Arial"/>
                <w:color w:val="000000"/>
                <w:spacing w:val="0"/>
                <w:sz w:val="22"/>
                <w:szCs w:val="22"/>
                <w:lang w:eastAsia="en-GB"/>
              </w:rPr>
              <w:t>Non-Medical Equipment</w:t>
            </w:r>
          </w:p>
        </w:tc>
        <w:tc>
          <w:tcPr>
            <w:tcW w:w="1504" w:type="dxa"/>
            <w:noWrap/>
          </w:tcPr>
          <w:p w14:paraId="412340EF" w14:textId="77777777" w:rsidR="00F57E23" w:rsidRPr="004228A3" w:rsidRDefault="00F57E23" w:rsidP="003F3E97">
            <w:pPr>
              <w:jc w:val="right"/>
              <w:rPr>
                <w:rFonts w:cs="Arial"/>
                <w:color w:val="000000"/>
                <w:spacing w:val="0"/>
                <w:sz w:val="22"/>
                <w:szCs w:val="22"/>
                <w:lang w:eastAsia="en-GB"/>
              </w:rPr>
            </w:pPr>
            <w:r>
              <w:rPr>
                <w:rFonts w:cs="Arial"/>
                <w:color w:val="000000"/>
                <w:spacing w:val="0"/>
                <w:sz w:val="22"/>
                <w:szCs w:val="22"/>
                <w:lang w:eastAsia="en-GB"/>
              </w:rPr>
              <w:t>65,633</w:t>
            </w:r>
          </w:p>
        </w:tc>
        <w:tc>
          <w:tcPr>
            <w:tcW w:w="1504" w:type="dxa"/>
          </w:tcPr>
          <w:p w14:paraId="007ED670" w14:textId="77777777" w:rsidR="00F57E23" w:rsidRDefault="00F57E23" w:rsidP="003F3E97">
            <w:pPr>
              <w:jc w:val="right"/>
              <w:rPr>
                <w:rFonts w:cs="Arial"/>
                <w:color w:val="000000"/>
                <w:spacing w:val="0"/>
                <w:sz w:val="22"/>
                <w:szCs w:val="22"/>
                <w:lang w:eastAsia="en-GB"/>
              </w:rPr>
            </w:pPr>
            <w:r>
              <w:rPr>
                <w:rFonts w:cs="Arial"/>
                <w:color w:val="000000"/>
                <w:spacing w:val="0"/>
                <w:sz w:val="22"/>
                <w:szCs w:val="22"/>
                <w:lang w:eastAsia="en-GB"/>
              </w:rPr>
              <w:t>65,633</w:t>
            </w:r>
          </w:p>
        </w:tc>
        <w:tc>
          <w:tcPr>
            <w:tcW w:w="1504" w:type="dxa"/>
          </w:tcPr>
          <w:p w14:paraId="1CF5305A" w14:textId="77777777" w:rsidR="00F57E23" w:rsidRDefault="00F57E23" w:rsidP="003F3E97">
            <w:pPr>
              <w:jc w:val="right"/>
              <w:rPr>
                <w:rFonts w:cs="Arial"/>
                <w:color w:val="000000"/>
                <w:spacing w:val="0"/>
                <w:sz w:val="22"/>
                <w:szCs w:val="22"/>
                <w:lang w:eastAsia="en-GB"/>
              </w:rPr>
            </w:pPr>
          </w:p>
        </w:tc>
      </w:tr>
      <w:tr w:rsidR="00F57E23" w:rsidRPr="00B15BC4" w14:paraId="23CFDA47" w14:textId="77777777" w:rsidTr="00F57E23">
        <w:trPr>
          <w:trHeight w:val="264"/>
        </w:trPr>
        <w:tc>
          <w:tcPr>
            <w:tcW w:w="4560" w:type="dxa"/>
            <w:noWrap/>
            <w:vAlign w:val="bottom"/>
          </w:tcPr>
          <w:p w14:paraId="679E15AC" w14:textId="77777777" w:rsidR="00F57E23" w:rsidRPr="00B15BC4" w:rsidRDefault="00F57E23" w:rsidP="003F3E97">
            <w:pPr>
              <w:rPr>
                <w:rFonts w:cs="Arial"/>
                <w:b/>
                <w:color w:val="000000"/>
                <w:spacing w:val="0"/>
                <w:sz w:val="22"/>
                <w:szCs w:val="22"/>
                <w:lang w:eastAsia="en-GB"/>
              </w:rPr>
            </w:pPr>
            <w:r w:rsidRPr="00B15BC4">
              <w:rPr>
                <w:rFonts w:cs="Arial"/>
                <w:b/>
                <w:color w:val="000000"/>
                <w:spacing w:val="0"/>
                <w:sz w:val="22"/>
                <w:szCs w:val="22"/>
                <w:lang w:eastAsia="en-GB"/>
              </w:rPr>
              <w:t>Total Funding</w:t>
            </w:r>
          </w:p>
        </w:tc>
        <w:tc>
          <w:tcPr>
            <w:tcW w:w="1504" w:type="dxa"/>
            <w:noWrap/>
          </w:tcPr>
          <w:p w14:paraId="36B26002" w14:textId="77777777" w:rsidR="00F57E23" w:rsidRPr="00B15BC4" w:rsidRDefault="00F57E23" w:rsidP="003F3E97">
            <w:pPr>
              <w:jc w:val="right"/>
              <w:rPr>
                <w:rFonts w:cs="Arial"/>
                <w:b/>
                <w:color w:val="000000"/>
                <w:spacing w:val="0"/>
                <w:sz w:val="22"/>
                <w:szCs w:val="22"/>
                <w:lang w:eastAsia="en-GB"/>
              </w:rPr>
            </w:pPr>
            <w:r>
              <w:rPr>
                <w:rFonts w:cs="Arial"/>
                <w:b/>
                <w:color w:val="000000"/>
                <w:spacing w:val="0"/>
                <w:sz w:val="22"/>
                <w:szCs w:val="22"/>
                <w:lang w:eastAsia="en-GB"/>
              </w:rPr>
              <w:t>19,541,433</w:t>
            </w:r>
          </w:p>
        </w:tc>
        <w:tc>
          <w:tcPr>
            <w:tcW w:w="1504" w:type="dxa"/>
          </w:tcPr>
          <w:p w14:paraId="7419F9E6" w14:textId="77777777" w:rsidR="00F57E23" w:rsidRDefault="00FC6F00" w:rsidP="003F3E97">
            <w:pPr>
              <w:jc w:val="right"/>
              <w:rPr>
                <w:rFonts w:cs="Arial"/>
                <w:b/>
                <w:color w:val="000000"/>
                <w:spacing w:val="0"/>
                <w:sz w:val="22"/>
                <w:szCs w:val="22"/>
                <w:lang w:eastAsia="en-GB"/>
              </w:rPr>
            </w:pPr>
            <w:r>
              <w:rPr>
                <w:rFonts w:cs="Arial"/>
                <w:b/>
                <w:color w:val="000000"/>
                <w:spacing w:val="0"/>
                <w:sz w:val="22"/>
                <w:szCs w:val="22"/>
                <w:lang w:eastAsia="en-GB"/>
              </w:rPr>
              <w:t>19,565,705</w:t>
            </w:r>
          </w:p>
        </w:tc>
        <w:tc>
          <w:tcPr>
            <w:tcW w:w="1504" w:type="dxa"/>
          </w:tcPr>
          <w:p w14:paraId="2394F035" w14:textId="77777777" w:rsidR="00F57E23" w:rsidRDefault="001229B5" w:rsidP="003F3E97">
            <w:pPr>
              <w:jc w:val="right"/>
              <w:rPr>
                <w:rFonts w:cs="Arial"/>
                <w:b/>
                <w:color w:val="000000"/>
                <w:spacing w:val="0"/>
                <w:sz w:val="22"/>
                <w:szCs w:val="22"/>
                <w:lang w:eastAsia="en-GB"/>
              </w:rPr>
            </w:pPr>
            <w:r>
              <w:rPr>
                <w:rFonts w:cs="Arial"/>
                <w:b/>
                <w:color w:val="000000"/>
                <w:spacing w:val="0"/>
                <w:sz w:val="22"/>
                <w:szCs w:val="22"/>
                <w:lang w:eastAsia="en-GB"/>
              </w:rPr>
              <w:t>24,271</w:t>
            </w:r>
          </w:p>
        </w:tc>
      </w:tr>
      <w:tr w:rsidR="004E7CBB" w:rsidRPr="004E7CBB" w14:paraId="12ECFB3F" w14:textId="77777777" w:rsidTr="00F57E23">
        <w:trPr>
          <w:trHeight w:val="264"/>
        </w:trPr>
        <w:tc>
          <w:tcPr>
            <w:tcW w:w="4560" w:type="dxa"/>
            <w:noWrap/>
            <w:vAlign w:val="bottom"/>
          </w:tcPr>
          <w:p w14:paraId="77F59208" w14:textId="77777777" w:rsidR="004E7CBB" w:rsidRPr="004E7CBB" w:rsidRDefault="004E7CBB" w:rsidP="003F3E97">
            <w:pPr>
              <w:rPr>
                <w:rFonts w:cs="Arial"/>
                <w:color w:val="000000"/>
                <w:spacing w:val="0"/>
                <w:sz w:val="22"/>
                <w:szCs w:val="22"/>
                <w:lang w:eastAsia="en-GB"/>
              </w:rPr>
            </w:pPr>
            <w:r w:rsidRPr="004E7CBB">
              <w:rPr>
                <w:rFonts w:cs="Arial"/>
                <w:color w:val="000000"/>
                <w:spacing w:val="0"/>
                <w:sz w:val="22"/>
                <w:szCs w:val="22"/>
                <w:lang w:eastAsia="en-GB"/>
              </w:rPr>
              <w:t>Over allocation</w:t>
            </w:r>
          </w:p>
        </w:tc>
        <w:tc>
          <w:tcPr>
            <w:tcW w:w="1504" w:type="dxa"/>
            <w:noWrap/>
          </w:tcPr>
          <w:p w14:paraId="22F03E9C" w14:textId="77777777" w:rsidR="004E7CBB" w:rsidRPr="004E7CBB" w:rsidRDefault="004E7CBB" w:rsidP="003F3E97">
            <w:pPr>
              <w:jc w:val="right"/>
              <w:rPr>
                <w:rFonts w:cs="Arial"/>
                <w:color w:val="000000"/>
                <w:spacing w:val="0"/>
                <w:sz w:val="22"/>
                <w:szCs w:val="22"/>
                <w:lang w:eastAsia="en-GB"/>
              </w:rPr>
            </w:pPr>
            <w:r>
              <w:rPr>
                <w:rFonts w:cs="Arial"/>
                <w:color w:val="000000"/>
                <w:spacing w:val="0"/>
                <w:sz w:val="22"/>
                <w:szCs w:val="22"/>
                <w:lang w:eastAsia="en-GB"/>
              </w:rPr>
              <w:t>349,433</w:t>
            </w:r>
          </w:p>
        </w:tc>
        <w:tc>
          <w:tcPr>
            <w:tcW w:w="1504" w:type="dxa"/>
          </w:tcPr>
          <w:p w14:paraId="759EAA54" w14:textId="77777777" w:rsidR="004E7CBB" w:rsidRPr="004E7CBB" w:rsidRDefault="004E7CBB" w:rsidP="003F3E97">
            <w:pPr>
              <w:jc w:val="right"/>
              <w:rPr>
                <w:rFonts w:cs="Arial"/>
                <w:color w:val="000000"/>
                <w:spacing w:val="0"/>
                <w:sz w:val="22"/>
                <w:szCs w:val="22"/>
                <w:lang w:eastAsia="en-GB"/>
              </w:rPr>
            </w:pPr>
            <w:r>
              <w:rPr>
                <w:rFonts w:cs="Arial"/>
                <w:color w:val="000000"/>
                <w:spacing w:val="0"/>
                <w:sz w:val="22"/>
                <w:szCs w:val="22"/>
                <w:lang w:eastAsia="en-GB"/>
              </w:rPr>
              <w:t>376,085</w:t>
            </w:r>
          </w:p>
        </w:tc>
        <w:tc>
          <w:tcPr>
            <w:tcW w:w="1504" w:type="dxa"/>
          </w:tcPr>
          <w:p w14:paraId="62F9598A" w14:textId="77777777" w:rsidR="004E7CBB" w:rsidRPr="004E7CBB" w:rsidRDefault="004E7CBB" w:rsidP="003F3E97">
            <w:pPr>
              <w:jc w:val="right"/>
              <w:rPr>
                <w:rFonts w:cs="Arial"/>
                <w:color w:val="000000"/>
                <w:spacing w:val="0"/>
                <w:sz w:val="22"/>
                <w:szCs w:val="22"/>
                <w:lang w:eastAsia="en-GB"/>
              </w:rPr>
            </w:pPr>
            <w:r>
              <w:rPr>
                <w:rFonts w:cs="Arial"/>
                <w:color w:val="000000"/>
                <w:spacing w:val="0"/>
                <w:sz w:val="22"/>
                <w:szCs w:val="22"/>
                <w:lang w:eastAsia="en-GB"/>
              </w:rPr>
              <w:t>26,652</w:t>
            </w:r>
          </w:p>
        </w:tc>
      </w:tr>
    </w:tbl>
    <w:p w14:paraId="286F59E2" w14:textId="77777777" w:rsidR="00B15BC4" w:rsidRDefault="00B15BC4" w:rsidP="000265BA">
      <w:pPr>
        <w:autoSpaceDE w:val="0"/>
        <w:autoSpaceDN w:val="0"/>
        <w:adjustRightInd w:val="0"/>
        <w:ind w:left="686"/>
        <w:jc w:val="both"/>
        <w:rPr>
          <w:rFonts w:eastAsiaTheme="minorHAnsi" w:cs="Arial"/>
          <w:spacing w:val="0"/>
          <w:szCs w:val="24"/>
        </w:rPr>
      </w:pPr>
    </w:p>
    <w:p w14:paraId="52D7FD34" w14:textId="77777777" w:rsidR="001229B5" w:rsidRDefault="001229B5" w:rsidP="001D53E0">
      <w:pPr>
        <w:pStyle w:val="ListParagraph"/>
        <w:numPr>
          <w:ilvl w:val="0"/>
          <w:numId w:val="30"/>
        </w:numPr>
        <w:autoSpaceDE w:val="0"/>
        <w:autoSpaceDN w:val="0"/>
        <w:adjustRightInd w:val="0"/>
        <w:ind w:left="686" w:hanging="260"/>
        <w:rPr>
          <w:rFonts w:ascii="Arial" w:eastAsiaTheme="minorHAnsi" w:hAnsi="Arial" w:cs="Arial"/>
          <w:sz w:val="24"/>
          <w:szCs w:val="24"/>
          <w:lang w:eastAsia="en-US"/>
        </w:rPr>
      </w:pPr>
      <w:proofErr w:type="spellStart"/>
      <w:r>
        <w:rPr>
          <w:rFonts w:ascii="Arial" w:eastAsiaTheme="minorHAnsi" w:hAnsi="Arial" w:cs="Arial"/>
          <w:sz w:val="24"/>
          <w:szCs w:val="24"/>
          <w:lang w:eastAsia="en-US"/>
        </w:rPr>
        <w:t>Aecom’s</w:t>
      </w:r>
      <w:proofErr w:type="spellEnd"/>
      <w:r>
        <w:rPr>
          <w:rFonts w:ascii="Arial" w:eastAsiaTheme="minorHAnsi" w:hAnsi="Arial" w:cs="Arial"/>
          <w:sz w:val="24"/>
          <w:szCs w:val="24"/>
          <w:lang w:eastAsia="en-US"/>
        </w:rPr>
        <w:t xml:space="preserve"> recent cost analysis indicates project spend for Phase 2 in this financial year to be closer to £9.7m (£1.8m less than capital budget).</w:t>
      </w:r>
    </w:p>
    <w:p w14:paraId="4319A662" w14:textId="77777777" w:rsidR="0033455A" w:rsidRDefault="0033455A" w:rsidP="001D53E0">
      <w:pPr>
        <w:pStyle w:val="ListParagraph"/>
        <w:numPr>
          <w:ilvl w:val="0"/>
          <w:numId w:val="30"/>
        </w:numPr>
        <w:autoSpaceDE w:val="0"/>
        <w:autoSpaceDN w:val="0"/>
        <w:adjustRightInd w:val="0"/>
        <w:ind w:left="686" w:hanging="260"/>
        <w:rPr>
          <w:rFonts w:ascii="Arial" w:eastAsiaTheme="minorHAnsi" w:hAnsi="Arial" w:cs="Arial"/>
          <w:sz w:val="24"/>
          <w:szCs w:val="24"/>
          <w:lang w:eastAsia="en-US"/>
        </w:rPr>
      </w:pPr>
      <w:r>
        <w:rPr>
          <w:rFonts w:ascii="Arial" w:eastAsiaTheme="minorHAnsi" w:hAnsi="Arial" w:cs="Arial"/>
          <w:sz w:val="24"/>
          <w:szCs w:val="24"/>
          <w:lang w:eastAsia="en-US"/>
        </w:rPr>
        <w:t>Medical equi</w:t>
      </w:r>
      <w:r w:rsidR="00FC6F00">
        <w:rPr>
          <w:rFonts w:ascii="Arial" w:eastAsiaTheme="minorHAnsi" w:hAnsi="Arial" w:cs="Arial"/>
          <w:sz w:val="24"/>
          <w:szCs w:val="24"/>
          <w:lang w:eastAsia="en-US"/>
        </w:rPr>
        <w:t>pment increase due to NIB funding an additional</w:t>
      </w:r>
      <w:r>
        <w:rPr>
          <w:rFonts w:ascii="Arial" w:eastAsiaTheme="minorHAnsi" w:hAnsi="Arial" w:cs="Arial"/>
          <w:sz w:val="24"/>
          <w:szCs w:val="24"/>
          <w:lang w:eastAsia="en-US"/>
        </w:rPr>
        <w:t xml:space="preserve"> 4 heart and lung machines and </w:t>
      </w:r>
      <w:proofErr w:type="spellStart"/>
      <w:r>
        <w:rPr>
          <w:rFonts w:ascii="Arial" w:eastAsiaTheme="minorHAnsi" w:hAnsi="Arial" w:cs="Arial"/>
          <w:sz w:val="24"/>
          <w:szCs w:val="24"/>
          <w:lang w:eastAsia="en-US"/>
        </w:rPr>
        <w:t>cath</w:t>
      </w:r>
      <w:proofErr w:type="spellEnd"/>
      <w:r>
        <w:rPr>
          <w:rFonts w:ascii="Arial" w:eastAsiaTheme="minorHAnsi" w:hAnsi="Arial" w:cs="Arial"/>
          <w:sz w:val="24"/>
          <w:szCs w:val="24"/>
          <w:lang w:eastAsia="en-US"/>
        </w:rPr>
        <w:t xml:space="preserve"> lab 4.</w:t>
      </w:r>
    </w:p>
    <w:p w14:paraId="4A10C60F" w14:textId="77777777" w:rsidR="001229B5" w:rsidRDefault="001229B5" w:rsidP="001D53E0">
      <w:pPr>
        <w:pStyle w:val="ListParagraph"/>
        <w:numPr>
          <w:ilvl w:val="0"/>
          <w:numId w:val="30"/>
        </w:numPr>
        <w:autoSpaceDE w:val="0"/>
        <w:autoSpaceDN w:val="0"/>
        <w:adjustRightInd w:val="0"/>
        <w:ind w:left="686" w:hanging="260"/>
        <w:rPr>
          <w:rFonts w:ascii="Arial" w:eastAsiaTheme="minorHAnsi" w:hAnsi="Arial" w:cs="Arial"/>
          <w:sz w:val="24"/>
          <w:szCs w:val="24"/>
          <w:lang w:eastAsia="en-US"/>
        </w:rPr>
      </w:pPr>
      <w:r>
        <w:rPr>
          <w:rFonts w:ascii="Arial" w:eastAsiaTheme="minorHAnsi" w:hAnsi="Arial" w:cs="Arial"/>
          <w:sz w:val="24"/>
          <w:szCs w:val="24"/>
          <w:lang w:eastAsia="en-US"/>
        </w:rPr>
        <w:t xml:space="preserve">Theatre 8 light (£27k) was approved by the </w:t>
      </w:r>
      <w:proofErr w:type="spellStart"/>
      <w:r>
        <w:rPr>
          <w:rFonts w:ascii="Arial" w:eastAsiaTheme="minorHAnsi" w:hAnsi="Arial" w:cs="Arial"/>
          <w:sz w:val="24"/>
          <w:szCs w:val="24"/>
          <w:lang w:eastAsia="en-US"/>
        </w:rPr>
        <w:t>D</w:t>
      </w:r>
      <w:r w:rsidR="00CC0EFF">
        <w:rPr>
          <w:rFonts w:ascii="Arial" w:eastAsiaTheme="minorHAnsi" w:hAnsi="Arial" w:cs="Arial"/>
          <w:sz w:val="24"/>
          <w:szCs w:val="24"/>
          <w:lang w:eastAsia="en-US"/>
        </w:rPr>
        <w:t>o</w:t>
      </w:r>
      <w:r>
        <w:rPr>
          <w:rFonts w:ascii="Arial" w:eastAsiaTheme="minorHAnsi" w:hAnsi="Arial" w:cs="Arial"/>
          <w:sz w:val="24"/>
          <w:szCs w:val="24"/>
          <w:lang w:eastAsia="en-US"/>
        </w:rPr>
        <w:t>F</w:t>
      </w:r>
      <w:proofErr w:type="spellEnd"/>
      <w:r w:rsidR="00CC0EFF">
        <w:rPr>
          <w:rFonts w:ascii="Arial" w:eastAsiaTheme="minorHAnsi" w:hAnsi="Arial" w:cs="Arial"/>
          <w:sz w:val="24"/>
          <w:szCs w:val="24"/>
          <w:lang w:eastAsia="en-US"/>
        </w:rPr>
        <w:t xml:space="preserve"> to reduce theatre down time after </w:t>
      </w:r>
      <w:r w:rsidR="00FC6F00">
        <w:rPr>
          <w:rFonts w:ascii="Arial" w:eastAsiaTheme="minorHAnsi" w:hAnsi="Arial" w:cs="Arial"/>
          <w:sz w:val="24"/>
          <w:szCs w:val="24"/>
          <w:lang w:eastAsia="en-US"/>
        </w:rPr>
        <w:t xml:space="preserve">equipment </w:t>
      </w:r>
      <w:r w:rsidR="00CC0EFF">
        <w:rPr>
          <w:rFonts w:ascii="Arial" w:eastAsiaTheme="minorHAnsi" w:hAnsi="Arial" w:cs="Arial"/>
          <w:sz w:val="24"/>
          <w:szCs w:val="24"/>
          <w:lang w:eastAsia="en-US"/>
        </w:rPr>
        <w:t>failure</w:t>
      </w:r>
      <w:r>
        <w:rPr>
          <w:rFonts w:ascii="Arial" w:eastAsiaTheme="minorHAnsi" w:hAnsi="Arial" w:cs="Arial"/>
          <w:sz w:val="24"/>
          <w:szCs w:val="24"/>
          <w:lang w:eastAsia="en-US"/>
        </w:rPr>
        <w:t xml:space="preserve">. </w:t>
      </w:r>
    </w:p>
    <w:p w14:paraId="008AF9BB" w14:textId="77777777" w:rsidR="005228F6" w:rsidRDefault="005228F6" w:rsidP="001D53E0">
      <w:pPr>
        <w:autoSpaceDE w:val="0"/>
        <w:autoSpaceDN w:val="0"/>
        <w:adjustRightInd w:val="0"/>
        <w:rPr>
          <w:rFonts w:eastAsiaTheme="minorHAnsi" w:cs="Arial"/>
          <w:spacing w:val="0"/>
          <w:szCs w:val="24"/>
        </w:rPr>
      </w:pPr>
    </w:p>
    <w:p w14:paraId="6E9B2AF6" w14:textId="77777777" w:rsidR="005228F6" w:rsidRPr="00C425CE" w:rsidRDefault="00C425CE" w:rsidP="001D53E0">
      <w:pPr>
        <w:autoSpaceDE w:val="0"/>
        <w:autoSpaceDN w:val="0"/>
        <w:adjustRightInd w:val="0"/>
        <w:ind w:left="686"/>
        <w:rPr>
          <w:rFonts w:eastAsiaTheme="minorHAnsi" w:cs="Arial"/>
          <w:b/>
          <w:color w:val="1F4E79" w:themeColor="accent1" w:themeShade="80"/>
          <w:spacing w:val="0"/>
          <w:sz w:val="30"/>
          <w:szCs w:val="30"/>
        </w:rPr>
      </w:pPr>
      <w:r w:rsidRPr="00C425CE">
        <w:rPr>
          <w:rFonts w:eastAsiaTheme="minorHAnsi" w:cs="Arial"/>
          <w:b/>
          <w:color w:val="1F4E79" w:themeColor="accent1" w:themeShade="80"/>
          <w:spacing w:val="0"/>
          <w:sz w:val="30"/>
          <w:szCs w:val="30"/>
        </w:rPr>
        <w:t>Expenditure against Plan</w:t>
      </w:r>
    </w:p>
    <w:p w14:paraId="51CC09C4" w14:textId="77777777" w:rsidR="00216A01" w:rsidRDefault="006441E8" w:rsidP="001D53E0">
      <w:pPr>
        <w:autoSpaceDE w:val="0"/>
        <w:autoSpaceDN w:val="0"/>
        <w:adjustRightInd w:val="0"/>
        <w:ind w:left="686"/>
        <w:rPr>
          <w:rFonts w:cs="Arial"/>
        </w:rPr>
      </w:pPr>
      <w:r>
        <w:rPr>
          <w:rFonts w:eastAsiaTheme="minorHAnsi" w:cs="Arial"/>
          <w:spacing w:val="0"/>
          <w:szCs w:val="24"/>
        </w:rPr>
        <w:t>As at 31 August</w:t>
      </w:r>
      <w:r w:rsidR="00216A01">
        <w:rPr>
          <w:rFonts w:eastAsiaTheme="minorHAnsi" w:cs="Arial"/>
          <w:spacing w:val="0"/>
          <w:szCs w:val="24"/>
        </w:rPr>
        <w:t xml:space="preserve"> 2025</w:t>
      </w:r>
      <w:r>
        <w:rPr>
          <w:rFonts w:eastAsiaTheme="minorHAnsi" w:cs="Arial"/>
          <w:spacing w:val="0"/>
          <w:szCs w:val="24"/>
        </w:rPr>
        <w:t>, t</w:t>
      </w:r>
      <w:r w:rsidR="00D61779">
        <w:rPr>
          <w:rFonts w:eastAsiaTheme="minorHAnsi" w:cs="Arial"/>
          <w:spacing w:val="0"/>
          <w:szCs w:val="24"/>
        </w:rPr>
        <w:t>he total actual spend was £2.2</w:t>
      </w:r>
      <w:r w:rsidR="00C425CE">
        <w:rPr>
          <w:rFonts w:eastAsiaTheme="minorHAnsi" w:cs="Arial"/>
          <w:spacing w:val="0"/>
          <w:szCs w:val="24"/>
        </w:rPr>
        <w:t>37m against plan</w:t>
      </w:r>
      <w:r w:rsidR="001B792B">
        <w:rPr>
          <w:rFonts w:eastAsiaTheme="minorHAnsi" w:cs="Arial"/>
          <w:spacing w:val="0"/>
          <w:szCs w:val="24"/>
        </w:rPr>
        <w:t>ned tota</w:t>
      </w:r>
      <w:r w:rsidR="0033455A">
        <w:rPr>
          <w:rFonts w:eastAsiaTheme="minorHAnsi" w:cs="Arial"/>
          <w:spacing w:val="0"/>
          <w:szCs w:val="24"/>
        </w:rPr>
        <w:t>l expenditure of £19.566</w:t>
      </w:r>
      <w:r w:rsidR="00C425CE">
        <w:rPr>
          <w:rFonts w:eastAsiaTheme="minorHAnsi" w:cs="Arial"/>
          <w:spacing w:val="0"/>
          <w:szCs w:val="24"/>
        </w:rPr>
        <w:t>m</w:t>
      </w:r>
      <w:r w:rsidR="00985A93">
        <w:rPr>
          <w:rFonts w:eastAsiaTheme="minorHAnsi" w:cs="Arial"/>
          <w:spacing w:val="0"/>
          <w:szCs w:val="24"/>
        </w:rPr>
        <w:t xml:space="preserve"> for the year.</w:t>
      </w:r>
      <w:r w:rsidR="00CC0EFF">
        <w:rPr>
          <w:rFonts w:eastAsiaTheme="minorHAnsi" w:cs="Arial"/>
          <w:spacing w:val="0"/>
          <w:szCs w:val="24"/>
        </w:rPr>
        <w:t xml:space="preserve">  The Board have spent </w:t>
      </w:r>
      <w:r w:rsidR="00CC0EFF">
        <w:rPr>
          <w:rFonts w:cs="Arial"/>
        </w:rPr>
        <w:t>11.5% of the 2025/26 capital budget despite being</w:t>
      </w:r>
      <w:r w:rsidR="00985A93">
        <w:rPr>
          <w:rFonts w:cs="Arial"/>
        </w:rPr>
        <w:t xml:space="preserve"> 42% of the</w:t>
      </w:r>
      <w:r w:rsidR="00CC0EFF">
        <w:rPr>
          <w:rFonts w:cs="Arial"/>
        </w:rPr>
        <w:t xml:space="preserve"> way through the financial year.  </w:t>
      </w:r>
      <w:r w:rsidR="002F7B05">
        <w:rPr>
          <w:rFonts w:cs="Arial"/>
        </w:rPr>
        <w:t>D</w:t>
      </w:r>
      <w:r w:rsidR="00216A01">
        <w:rPr>
          <w:rFonts w:cs="Arial"/>
        </w:rPr>
        <w:t xml:space="preserve">ivisions </w:t>
      </w:r>
      <w:r w:rsidR="001B792B">
        <w:rPr>
          <w:rFonts w:cs="Arial"/>
        </w:rPr>
        <w:t>have been requested</w:t>
      </w:r>
      <w:r w:rsidR="00216A01">
        <w:rPr>
          <w:rFonts w:cs="Arial"/>
        </w:rPr>
        <w:t xml:space="preserve"> to prioritise the ordering of goods and services to ensure that these </w:t>
      </w:r>
      <w:r w:rsidR="00FC6F00">
        <w:rPr>
          <w:rFonts w:cs="Arial"/>
        </w:rPr>
        <w:t>are</w:t>
      </w:r>
      <w:r w:rsidR="00216A01">
        <w:rPr>
          <w:rFonts w:cs="Arial"/>
        </w:rPr>
        <w:t xml:space="preserve"> received or services are completed by 31</w:t>
      </w:r>
      <w:r w:rsidR="00216A01" w:rsidRPr="003E7E6F">
        <w:rPr>
          <w:rFonts w:cs="Arial"/>
          <w:vertAlign w:val="superscript"/>
        </w:rPr>
        <w:t>st</w:t>
      </w:r>
      <w:r w:rsidR="00216A01">
        <w:rPr>
          <w:rFonts w:cs="Arial"/>
        </w:rPr>
        <w:t xml:space="preserve"> March 2026. </w:t>
      </w:r>
    </w:p>
    <w:p w14:paraId="1B9F86E3" w14:textId="77777777" w:rsidR="00216A01" w:rsidRDefault="00216A01" w:rsidP="001D53E0">
      <w:pPr>
        <w:autoSpaceDE w:val="0"/>
        <w:autoSpaceDN w:val="0"/>
        <w:adjustRightInd w:val="0"/>
        <w:ind w:left="686"/>
        <w:rPr>
          <w:rFonts w:eastAsiaTheme="minorHAnsi" w:cs="Arial"/>
          <w:spacing w:val="0"/>
          <w:szCs w:val="24"/>
        </w:rPr>
      </w:pPr>
    </w:p>
    <w:p w14:paraId="52066E68" w14:textId="77777777" w:rsidR="00216A01" w:rsidRDefault="00216A01" w:rsidP="001D53E0">
      <w:pPr>
        <w:autoSpaceDE w:val="0"/>
        <w:autoSpaceDN w:val="0"/>
        <w:adjustRightInd w:val="0"/>
        <w:ind w:left="686"/>
        <w:rPr>
          <w:rFonts w:cs="Arial"/>
        </w:rPr>
      </w:pPr>
      <w:r>
        <w:rPr>
          <w:rFonts w:eastAsiaTheme="minorHAnsi" w:cs="Arial"/>
          <w:spacing w:val="0"/>
          <w:szCs w:val="24"/>
        </w:rPr>
        <w:t>Through regular monthly meetings between Finance and projects leads, expenditure against plan will continue to be monitored, and any risks around utilising the full capital allocation will be highlighted to SCPG</w:t>
      </w:r>
      <w:r w:rsidR="001B792B">
        <w:rPr>
          <w:rFonts w:eastAsiaTheme="minorHAnsi" w:cs="Arial"/>
          <w:spacing w:val="0"/>
          <w:szCs w:val="24"/>
        </w:rPr>
        <w:t>, and reported to FPC</w:t>
      </w:r>
      <w:r>
        <w:rPr>
          <w:rFonts w:eastAsiaTheme="minorHAnsi" w:cs="Arial"/>
          <w:spacing w:val="0"/>
          <w:szCs w:val="24"/>
        </w:rPr>
        <w:t>.</w:t>
      </w:r>
    </w:p>
    <w:p w14:paraId="5BC6719C" w14:textId="77777777" w:rsidR="008644FD" w:rsidRDefault="008644FD" w:rsidP="001D53E0">
      <w:pPr>
        <w:autoSpaceDE w:val="0"/>
        <w:autoSpaceDN w:val="0"/>
        <w:adjustRightInd w:val="0"/>
        <w:ind w:left="686"/>
        <w:rPr>
          <w:rFonts w:cs="Arial"/>
        </w:rPr>
      </w:pPr>
    </w:p>
    <w:p w14:paraId="670141BD" w14:textId="77777777" w:rsidR="00E71B1F" w:rsidRPr="00E71B1F" w:rsidRDefault="00E71B1F" w:rsidP="001D53E0">
      <w:pPr>
        <w:autoSpaceDE w:val="0"/>
        <w:autoSpaceDN w:val="0"/>
        <w:adjustRightInd w:val="0"/>
        <w:ind w:left="686"/>
        <w:rPr>
          <w:rFonts w:eastAsiaTheme="minorHAnsi" w:cs="Arial"/>
          <w:b/>
          <w:color w:val="1F4E79" w:themeColor="accent1" w:themeShade="80"/>
          <w:spacing w:val="0"/>
          <w:sz w:val="30"/>
          <w:szCs w:val="30"/>
        </w:rPr>
      </w:pPr>
      <w:r w:rsidRPr="00E71B1F">
        <w:rPr>
          <w:rFonts w:eastAsiaTheme="minorHAnsi" w:cs="Arial"/>
          <w:b/>
          <w:color w:val="1F4E79" w:themeColor="accent1" w:themeShade="80"/>
          <w:spacing w:val="0"/>
          <w:sz w:val="30"/>
          <w:szCs w:val="30"/>
        </w:rPr>
        <w:t>Project Pipeline</w:t>
      </w:r>
    </w:p>
    <w:p w14:paraId="3643E838" w14:textId="77777777" w:rsidR="00216A01" w:rsidRDefault="00216A01" w:rsidP="001D53E0">
      <w:pPr>
        <w:autoSpaceDE w:val="0"/>
        <w:autoSpaceDN w:val="0"/>
        <w:adjustRightInd w:val="0"/>
        <w:ind w:left="686"/>
        <w:rPr>
          <w:rFonts w:eastAsiaTheme="minorHAnsi" w:cs="Arial"/>
          <w:spacing w:val="0"/>
          <w:szCs w:val="24"/>
        </w:rPr>
      </w:pPr>
      <w:r>
        <w:rPr>
          <w:rFonts w:eastAsiaTheme="minorHAnsi" w:cs="Arial"/>
          <w:spacing w:val="0"/>
          <w:szCs w:val="24"/>
        </w:rPr>
        <w:t>Further funding becoming available remains a real priority, and the Board should be ready to take advantage of this by continuing to assess priorities.</w:t>
      </w:r>
      <w:r w:rsidRPr="00216A01">
        <w:rPr>
          <w:rFonts w:eastAsiaTheme="minorHAnsi" w:cs="Arial"/>
          <w:spacing w:val="0"/>
          <w:szCs w:val="24"/>
        </w:rPr>
        <w:t xml:space="preserve"> </w:t>
      </w:r>
      <w:r>
        <w:rPr>
          <w:rFonts w:eastAsiaTheme="minorHAnsi" w:cs="Arial"/>
          <w:spacing w:val="0"/>
          <w:szCs w:val="24"/>
        </w:rPr>
        <w:t xml:space="preserve">The Associate Director of Finance has contacted CDG leads, and requested that </w:t>
      </w:r>
      <w:r w:rsidR="00EB7C71">
        <w:rPr>
          <w:rFonts w:eastAsiaTheme="minorHAnsi" w:cs="Arial"/>
          <w:spacing w:val="0"/>
          <w:szCs w:val="24"/>
        </w:rPr>
        <w:t>capital</w:t>
      </w:r>
      <w:r>
        <w:rPr>
          <w:rFonts w:eastAsiaTheme="minorHAnsi" w:cs="Arial"/>
          <w:spacing w:val="0"/>
          <w:szCs w:val="24"/>
        </w:rPr>
        <w:t xml:space="preserve"> priorities are reassessed for prioritisation and wider discussion.</w:t>
      </w:r>
    </w:p>
    <w:p w14:paraId="66309025" w14:textId="77777777" w:rsidR="00E71B1F" w:rsidRDefault="00E71B1F" w:rsidP="001D53E0">
      <w:pPr>
        <w:autoSpaceDE w:val="0"/>
        <w:autoSpaceDN w:val="0"/>
        <w:adjustRightInd w:val="0"/>
        <w:ind w:left="686"/>
        <w:rPr>
          <w:rFonts w:eastAsiaTheme="minorHAnsi" w:cs="Arial"/>
          <w:spacing w:val="0"/>
          <w:szCs w:val="24"/>
        </w:rPr>
      </w:pPr>
    </w:p>
    <w:p w14:paraId="7016D98B" w14:textId="77777777" w:rsidR="00E71B1F" w:rsidRDefault="00E71B1F" w:rsidP="001D53E0">
      <w:pPr>
        <w:autoSpaceDE w:val="0"/>
        <w:autoSpaceDN w:val="0"/>
        <w:adjustRightInd w:val="0"/>
        <w:ind w:left="686"/>
        <w:rPr>
          <w:rFonts w:eastAsiaTheme="minorHAnsi" w:cs="Arial"/>
          <w:spacing w:val="0"/>
          <w:szCs w:val="24"/>
        </w:rPr>
      </w:pPr>
      <w:r>
        <w:rPr>
          <w:rFonts w:eastAsiaTheme="minorHAnsi" w:cs="Arial"/>
          <w:spacing w:val="0"/>
          <w:szCs w:val="24"/>
        </w:rPr>
        <w:t xml:space="preserve">The list of pipeline projects </w:t>
      </w:r>
      <w:r w:rsidR="00FC6F00">
        <w:rPr>
          <w:rFonts w:eastAsiaTheme="minorHAnsi" w:cs="Arial"/>
          <w:spacing w:val="0"/>
          <w:szCs w:val="24"/>
        </w:rPr>
        <w:t xml:space="preserve">agreed by SCPG </w:t>
      </w:r>
      <w:r>
        <w:rPr>
          <w:rFonts w:eastAsiaTheme="minorHAnsi" w:cs="Arial"/>
          <w:spacing w:val="0"/>
          <w:szCs w:val="24"/>
        </w:rPr>
        <w:t xml:space="preserve">is as follows – </w:t>
      </w:r>
    </w:p>
    <w:p w14:paraId="37A49E3C" w14:textId="77777777" w:rsidR="00E71B1F" w:rsidRDefault="00E71B1F" w:rsidP="00EB7C71">
      <w:pPr>
        <w:autoSpaceDE w:val="0"/>
        <w:autoSpaceDN w:val="0"/>
        <w:adjustRightInd w:val="0"/>
        <w:ind w:left="686"/>
        <w:jc w:val="both"/>
        <w:rPr>
          <w:rFonts w:eastAsiaTheme="minorHAnsi" w:cs="Arial"/>
          <w:spacing w:val="0"/>
          <w:szCs w:val="24"/>
        </w:rPr>
      </w:pPr>
    </w:p>
    <w:p w14:paraId="41573DA3" w14:textId="77777777" w:rsidR="00FD614A" w:rsidRDefault="00FD614A" w:rsidP="00FD614A">
      <w:pPr>
        <w:autoSpaceDE w:val="0"/>
        <w:autoSpaceDN w:val="0"/>
        <w:adjustRightInd w:val="0"/>
        <w:jc w:val="both"/>
        <w:rPr>
          <w:rFonts w:eastAsiaTheme="minorHAnsi" w:cs="Arial"/>
          <w:spacing w:val="0"/>
          <w:szCs w:val="24"/>
        </w:rPr>
      </w:pPr>
      <w:r w:rsidRPr="00FD614A">
        <w:rPr>
          <w:rFonts w:eastAsiaTheme="minorHAnsi"/>
          <w:noProof/>
          <w:lang w:eastAsia="en-GB"/>
        </w:rPr>
        <w:lastRenderedPageBreak/>
        <w:drawing>
          <wp:inline distT="0" distB="0" distL="0" distR="0" wp14:anchorId="0D0312DD" wp14:editId="49F761C1">
            <wp:extent cx="6390640" cy="496498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0640" cy="4964982"/>
                    </a:xfrm>
                    <a:prstGeom prst="rect">
                      <a:avLst/>
                    </a:prstGeom>
                    <a:noFill/>
                    <a:ln>
                      <a:noFill/>
                    </a:ln>
                  </pic:spPr>
                </pic:pic>
              </a:graphicData>
            </a:graphic>
          </wp:inline>
        </w:drawing>
      </w:r>
    </w:p>
    <w:p w14:paraId="4AE467E3" w14:textId="77777777" w:rsidR="00E71B1F" w:rsidRDefault="00E71B1F" w:rsidP="00EB7C71">
      <w:pPr>
        <w:autoSpaceDE w:val="0"/>
        <w:autoSpaceDN w:val="0"/>
        <w:adjustRightInd w:val="0"/>
        <w:ind w:left="686"/>
        <w:jc w:val="both"/>
        <w:rPr>
          <w:rFonts w:eastAsiaTheme="minorHAnsi" w:cs="Arial"/>
          <w:spacing w:val="0"/>
          <w:szCs w:val="24"/>
        </w:rPr>
      </w:pPr>
    </w:p>
    <w:p w14:paraId="377248DB" w14:textId="77777777" w:rsidR="00216A01" w:rsidRDefault="00216A01" w:rsidP="00D61779">
      <w:pPr>
        <w:autoSpaceDE w:val="0"/>
        <w:autoSpaceDN w:val="0"/>
        <w:adjustRightInd w:val="0"/>
        <w:ind w:left="686"/>
        <w:rPr>
          <w:rFonts w:eastAsiaTheme="minorHAnsi" w:cs="Arial"/>
          <w:spacing w:val="0"/>
          <w:szCs w:val="24"/>
        </w:rPr>
      </w:pPr>
    </w:p>
    <w:p w14:paraId="3661C7C9" w14:textId="77777777" w:rsidR="00F3337D" w:rsidRPr="004228A3" w:rsidRDefault="00C87B62" w:rsidP="001D53E0">
      <w:pPr>
        <w:pStyle w:val="Heading3"/>
        <w:spacing w:line="276" w:lineRule="auto"/>
        <w:rPr>
          <w:rFonts w:cs="Arial"/>
        </w:rPr>
      </w:pPr>
      <w:r w:rsidRPr="004228A3">
        <w:rPr>
          <w:rFonts w:cs="Arial"/>
        </w:rPr>
        <w:t>2</w:t>
      </w:r>
      <w:r w:rsidR="00BF3AF0" w:rsidRPr="004228A3">
        <w:rPr>
          <w:rFonts w:cs="Arial"/>
        </w:rPr>
        <w:t>.3.1</w:t>
      </w:r>
      <w:r w:rsidR="00BF3AF0" w:rsidRPr="004228A3">
        <w:rPr>
          <w:rFonts w:cs="Arial"/>
        </w:rPr>
        <w:tab/>
      </w:r>
      <w:r w:rsidR="00F3337D" w:rsidRPr="004228A3">
        <w:rPr>
          <w:rFonts w:cs="Arial"/>
        </w:rPr>
        <w:t>Quality/ Patient Care</w:t>
      </w:r>
    </w:p>
    <w:p w14:paraId="603A35C5" w14:textId="77777777" w:rsidR="001B792B" w:rsidRPr="004228A3" w:rsidRDefault="001B792B" w:rsidP="001D53E0">
      <w:pPr>
        <w:autoSpaceDE w:val="0"/>
        <w:autoSpaceDN w:val="0"/>
        <w:adjustRightInd w:val="0"/>
        <w:ind w:left="720"/>
        <w:rPr>
          <w:rFonts w:eastAsiaTheme="minorHAnsi" w:cs="Arial"/>
          <w:spacing w:val="0"/>
          <w:szCs w:val="24"/>
        </w:rPr>
      </w:pPr>
      <w:r w:rsidRPr="004228A3">
        <w:rPr>
          <w:rFonts w:eastAsiaTheme="minorHAnsi" w:cs="Arial"/>
          <w:spacing w:val="0"/>
          <w:szCs w:val="24"/>
        </w:rPr>
        <w:t xml:space="preserve">The condition of the estate as well as levels of high-risk infrastructure need directly impact quality of patient care. Capital investment is required to enable NHSGJ to deliver its strategic priorities and address growing population demand as well as care and capacity gaps. Operational and performance impacts have been seen previously from high-risk failure of our estate and we remain at high risk from key estate and asset failure risks that could impact critical services. </w:t>
      </w:r>
    </w:p>
    <w:p w14:paraId="342DB8E8" w14:textId="77777777" w:rsidR="00F3337D" w:rsidRPr="004228A3" w:rsidRDefault="00F3337D" w:rsidP="001D53E0">
      <w:pPr>
        <w:rPr>
          <w:rFonts w:cs="Arial"/>
          <w:color w:val="000000"/>
          <w:szCs w:val="24"/>
        </w:rPr>
      </w:pPr>
    </w:p>
    <w:p w14:paraId="591B7D2A" w14:textId="77777777" w:rsidR="00AA77F7" w:rsidRPr="004228A3" w:rsidRDefault="00C87B62" w:rsidP="001D53E0">
      <w:pPr>
        <w:pStyle w:val="Heading3"/>
        <w:spacing w:line="276" w:lineRule="auto"/>
        <w:rPr>
          <w:rFonts w:cs="Arial"/>
        </w:rPr>
      </w:pPr>
      <w:r w:rsidRPr="004228A3">
        <w:rPr>
          <w:rFonts w:cs="Arial"/>
        </w:rPr>
        <w:t>2</w:t>
      </w:r>
      <w:r w:rsidR="00BF3AF0" w:rsidRPr="004228A3">
        <w:rPr>
          <w:rFonts w:cs="Arial"/>
        </w:rPr>
        <w:t>.3.2</w:t>
      </w:r>
      <w:r w:rsidR="00BF3AF0" w:rsidRPr="004228A3">
        <w:rPr>
          <w:rFonts w:cs="Arial"/>
        </w:rPr>
        <w:tab/>
      </w:r>
      <w:r w:rsidR="00AA77F7" w:rsidRPr="004228A3">
        <w:rPr>
          <w:rFonts w:cs="Arial"/>
        </w:rPr>
        <w:t>Workforce</w:t>
      </w:r>
    </w:p>
    <w:p w14:paraId="0E9D88C8" w14:textId="77777777" w:rsidR="00F3337D" w:rsidRPr="004228A3" w:rsidRDefault="00DE2D91" w:rsidP="001D53E0">
      <w:pPr>
        <w:autoSpaceDE w:val="0"/>
        <w:autoSpaceDN w:val="0"/>
        <w:adjustRightInd w:val="0"/>
        <w:ind w:left="720"/>
        <w:rPr>
          <w:rFonts w:eastAsiaTheme="minorHAnsi" w:cs="Arial"/>
          <w:spacing w:val="0"/>
          <w:szCs w:val="24"/>
        </w:rPr>
      </w:pPr>
      <w:r w:rsidRPr="004228A3">
        <w:rPr>
          <w:rFonts w:eastAsiaTheme="minorHAnsi" w:cs="Arial"/>
          <w:spacing w:val="0"/>
          <w:szCs w:val="24"/>
        </w:rPr>
        <w:t xml:space="preserve">In </w:t>
      </w:r>
      <w:r w:rsidR="00E71B1F">
        <w:rPr>
          <w:rFonts w:eastAsiaTheme="minorHAnsi" w:cs="Arial"/>
          <w:spacing w:val="0"/>
          <w:szCs w:val="24"/>
        </w:rPr>
        <w:t>2024/25 NHS</w:t>
      </w:r>
      <w:r w:rsidRPr="004228A3">
        <w:rPr>
          <w:rFonts w:eastAsiaTheme="minorHAnsi" w:cs="Arial"/>
          <w:spacing w:val="0"/>
          <w:szCs w:val="24"/>
        </w:rPr>
        <w:t xml:space="preserve">GJ received additional funding in quarter three. This required additional resource particularly from Estates, Medical Physics, Digital and Procurement services. Should additional funding become available in </w:t>
      </w:r>
      <w:r w:rsidR="00E71B1F">
        <w:rPr>
          <w:rFonts w:eastAsiaTheme="minorHAnsi" w:cs="Arial"/>
          <w:spacing w:val="0"/>
          <w:szCs w:val="24"/>
        </w:rPr>
        <w:t>20</w:t>
      </w:r>
      <w:r w:rsidRPr="004228A3">
        <w:rPr>
          <w:rFonts w:eastAsiaTheme="minorHAnsi" w:cs="Arial"/>
          <w:spacing w:val="0"/>
          <w:szCs w:val="24"/>
        </w:rPr>
        <w:t>25/26, further resource and support will similarly be required to progress capital projects</w:t>
      </w:r>
      <w:r w:rsidR="00654DBA" w:rsidRPr="004228A3">
        <w:rPr>
          <w:rFonts w:eastAsiaTheme="minorHAnsi" w:cs="Arial"/>
          <w:spacing w:val="0"/>
          <w:szCs w:val="24"/>
        </w:rPr>
        <w:t xml:space="preserve"> held in reserve</w:t>
      </w:r>
      <w:r w:rsidRPr="004228A3">
        <w:rPr>
          <w:rFonts w:eastAsiaTheme="minorHAnsi" w:cs="Arial"/>
          <w:spacing w:val="0"/>
          <w:szCs w:val="24"/>
        </w:rPr>
        <w:t xml:space="preserve">. Where programmes </w:t>
      </w:r>
      <w:r w:rsidR="00654DBA" w:rsidRPr="004228A3">
        <w:rPr>
          <w:rFonts w:eastAsiaTheme="minorHAnsi" w:cs="Arial"/>
          <w:spacing w:val="0"/>
          <w:szCs w:val="24"/>
        </w:rPr>
        <w:t>require operational and clinical based staff to</w:t>
      </w:r>
      <w:r w:rsidRPr="004228A3">
        <w:rPr>
          <w:rFonts w:eastAsiaTheme="minorHAnsi" w:cs="Arial"/>
          <w:spacing w:val="0"/>
          <w:szCs w:val="24"/>
        </w:rPr>
        <w:t xml:space="preserve"> support, </w:t>
      </w:r>
      <w:r w:rsidR="00654DBA" w:rsidRPr="004228A3">
        <w:rPr>
          <w:rFonts w:eastAsiaTheme="minorHAnsi" w:cs="Arial"/>
          <w:spacing w:val="0"/>
          <w:szCs w:val="24"/>
        </w:rPr>
        <w:t>service demand wi</w:t>
      </w:r>
      <w:r w:rsidR="00FC6F00">
        <w:rPr>
          <w:rFonts w:eastAsiaTheme="minorHAnsi" w:cs="Arial"/>
          <w:spacing w:val="0"/>
          <w:szCs w:val="24"/>
        </w:rPr>
        <w:t>ll take priority.</w:t>
      </w:r>
    </w:p>
    <w:p w14:paraId="4C950FF0" w14:textId="77777777" w:rsidR="00654DBA" w:rsidRPr="004228A3" w:rsidRDefault="00654DBA" w:rsidP="001D53E0">
      <w:pPr>
        <w:autoSpaceDE w:val="0"/>
        <w:autoSpaceDN w:val="0"/>
        <w:adjustRightInd w:val="0"/>
        <w:rPr>
          <w:rFonts w:eastAsiaTheme="minorHAnsi" w:cs="Arial"/>
          <w:spacing w:val="0"/>
          <w:szCs w:val="24"/>
        </w:rPr>
      </w:pPr>
    </w:p>
    <w:p w14:paraId="0D913545" w14:textId="77777777" w:rsidR="00F3337D" w:rsidRPr="004228A3" w:rsidRDefault="00C87B62" w:rsidP="001D53E0">
      <w:pPr>
        <w:pStyle w:val="Heading3"/>
        <w:spacing w:line="276" w:lineRule="auto"/>
        <w:rPr>
          <w:rFonts w:cs="Arial"/>
        </w:rPr>
      </w:pPr>
      <w:r w:rsidRPr="004228A3">
        <w:rPr>
          <w:rFonts w:cs="Arial"/>
        </w:rPr>
        <w:t>2</w:t>
      </w:r>
      <w:r w:rsidR="00BF3AF0" w:rsidRPr="004228A3">
        <w:rPr>
          <w:rFonts w:cs="Arial"/>
        </w:rPr>
        <w:t>.3.3</w:t>
      </w:r>
      <w:r w:rsidR="00BF3AF0" w:rsidRPr="004228A3">
        <w:rPr>
          <w:rFonts w:cs="Arial"/>
        </w:rPr>
        <w:tab/>
      </w:r>
      <w:r w:rsidR="00F3337D" w:rsidRPr="004228A3">
        <w:rPr>
          <w:rFonts w:cs="Arial"/>
        </w:rPr>
        <w:t>Financial</w:t>
      </w:r>
    </w:p>
    <w:p w14:paraId="16B54BB2" w14:textId="77777777" w:rsidR="00FB6339" w:rsidRPr="004228A3" w:rsidRDefault="003046EC" w:rsidP="001D53E0">
      <w:pPr>
        <w:autoSpaceDE w:val="0"/>
        <w:autoSpaceDN w:val="0"/>
        <w:adjustRightInd w:val="0"/>
        <w:ind w:left="720"/>
        <w:rPr>
          <w:rFonts w:eastAsiaTheme="minorHAnsi" w:cs="Arial"/>
          <w:spacing w:val="0"/>
          <w:szCs w:val="24"/>
        </w:rPr>
      </w:pPr>
      <w:r>
        <w:rPr>
          <w:rFonts w:cs="Arial"/>
          <w:color w:val="000000"/>
          <w:szCs w:val="24"/>
        </w:rPr>
        <w:t>S</w:t>
      </w:r>
      <w:r w:rsidR="00B044AB" w:rsidRPr="004228A3">
        <w:rPr>
          <w:rFonts w:cs="Arial"/>
          <w:color w:val="000000"/>
          <w:szCs w:val="24"/>
        </w:rPr>
        <w:t xml:space="preserve">ome </w:t>
      </w:r>
      <w:r w:rsidR="00D87BD0" w:rsidRPr="004228A3">
        <w:rPr>
          <w:rFonts w:cs="Arial"/>
          <w:color w:val="000000"/>
          <w:szCs w:val="24"/>
        </w:rPr>
        <w:t xml:space="preserve">of the costs associated with capital projects agreed as part of the </w:t>
      </w:r>
      <w:r w:rsidR="00E71B1F">
        <w:rPr>
          <w:rFonts w:cs="Arial"/>
          <w:color w:val="000000"/>
          <w:szCs w:val="24"/>
        </w:rPr>
        <w:t>20</w:t>
      </w:r>
      <w:r w:rsidR="00D87BD0" w:rsidRPr="004228A3">
        <w:rPr>
          <w:rFonts w:cs="Arial"/>
          <w:color w:val="000000"/>
          <w:szCs w:val="24"/>
        </w:rPr>
        <w:t>25/26 capital plan will require adjustment as the procurement process progresses and we move from an estimated position</w:t>
      </w:r>
      <w:r>
        <w:rPr>
          <w:rFonts w:cs="Arial"/>
          <w:color w:val="000000"/>
          <w:szCs w:val="24"/>
        </w:rPr>
        <w:t xml:space="preserve">. These movements will be reported monthly and meetings will continue between Finance and budget holders to monitor the position closely. </w:t>
      </w:r>
    </w:p>
    <w:p w14:paraId="4425A4E9" w14:textId="77777777" w:rsidR="00B044AB" w:rsidRPr="004228A3" w:rsidRDefault="00B044AB" w:rsidP="001D53E0">
      <w:pPr>
        <w:spacing w:before="40" w:after="40" w:line="276" w:lineRule="auto"/>
        <w:ind w:left="720"/>
        <w:rPr>
          <w:rFonts w:cs="Arial"/>
          <w:color w:val="000000"/>
          <w:szCs w:val="24"/>
        </w:rPr>
      </w:pPr>
    </w:p>
    <w:p w14:paraId="73344FCA" w14:textId="77777777" w:rsidR="00F3337D" w:rsidRPr="004228A3" w:rsidRDefault="00C87B62" w:rsidP="001D53E0">
      <w:pPr>
        <w:pStyle w:val="Heading3"/>
        <w:spacing w:line="276" w:lineRule="auto"/>
        <w:rPr>
          <w:rFonts w:cs="Arial"/>
        </w:rPr>
      </w:pPr>
      <w:r w:rsidRPr="004228A3">
        <w:rPr>
          <w:rFonts w:cs="Arial"/>
        </w:rPr>
        <w:lastRenderedPageBreak/>
        <w:t>2</w:t>
      </w:r>
      <w:r w:rsidR="00BF3AF0" w:rsidRPr="004228A3">
        <w:rPr>
          <w:rFonts w:cs="Arial"/>
        </w:rPr>
        <w:t>.3.4</w:t>
      </w:r>
      <w:r w:rsidR="00BF3AF0" w:rsidRPr="004228A3">
        <w:rPr>
          <w:rFonts w:cs="Arial"/>
        </w:rPr>
        <w:tab/>
      </w:r>
      <w:r w:rsidR="00F3337D" w:rsidRPr="004228A3">
        <w:rPr>
          <w:rFonts w:cs="Arial"/>
        </w:rPr>
        <w:t>Risk Assessment</w:t>
      </w:r>
      <w:r w:rsidR="00BF3AF0" w:rsidRPr="004228A3">
        <w:rPr>
          <w:rFonts w:cs="Arial"/>
        </w:rPr>
        <w:t>/</w:t>
      </w:r>
      <w:r w:rsidR="00F3337D" w:rsidRPr="004228A3">
        <w:rPr>
          <w:rFonts w:cs="Arial"/>
        </w:rPr>
        <w:t>Management</w:t>
      </w:r>
    </w:p>
    <w:p w14:paraId="38E5EDB9" w14:textId="77777777" w:rsidR="00F3337D" w:rsidRPr="004228A3" w:rsidRDefault="00EF7BE4" w:rsidP="001D53E0">
      <w:pPr>
        <w:spacing w:before="40" w:after="40" w:line="276" w:lineRule="auto"/>
        <w:ind w:left="720"/>
        <w:rPr>
          <w:rFonts w:eastAsiaTheme="minorHAnsi" w:cs="Arial"/>
          <w:spacing w:val="0"/>
          <w:szCs w:val="24"/>
        </w:rPr>
      </w:pPr>
      <w:r w:rsidRPr="004228A3">
        <w:rPr>
          <w:rFonts w:eastAsiaTheme="minorHAnsi" w:cs="Arial"/>
          <w:spacing w:val="0"/>
          <w:szCs w:val="24"/>
        </w:rPr>
        <w:t>The following risks are highlighted as part</w:t>
      </w:r>
      <w:r w:rsidR="004A14BD" w:rsidRPr="004228A3">
        <w:rPr>
          <w:rFonts w:eastAsiaTheme="minorHAnsi" w:cs="Arial"/>
          <w:spacing w:val="0"/>
          <w:szCs w:val="24"/>
        </w:rPr>
        <w:t xml:space="preserve"> of the formula capital programme</w:t>
      </w:r>
      <w:r w:rsidRPr="004228A3">
        <w:rPr>
          <w:rFonts w:eastAsiaTheme="minorHAnsi" w:cs="Arial"/>
          <w:spacing w:val="0"/>
          <w:szCs w:val="24"/>
        </w:rPr>
        <w:t xml:space="preserve"> for </w:t>
      </w:r>
      <w:r w:rsidR="00E71B1F">
        <w:rPr>
          <w:rFonts w:eastAsiaTheme="minorHAnsi" w:cs="Arial"/>
          <w:spacing w:val="0"/>
          <w:szCs w:val="24"/>
        </w:rPr>
        <w:t>20</w:t>
      </w:r>
      <w:r w:rsidRPr="004228A3">
        <w:rPr>
          <w:rFonts w:eastAsiaTheme="minorHAnsi" w:cs="Arial"/>
          <w:spacing w:val="0"/>
          <w:szCs w:val="24"/>
        </w:rPr>
        <w:t>25/26:</w:t>
      </w:r>
    </w:p>
    <w:p w14:paraId="67DD9710" w14:textId="77777777" w:rsidR="000D645A" w:rsidRPr="004228A3" w:rsidRDefault="000D645A" w:rsidP="001D53E0">
      <w:pPr>
        <w:pStyle w:val="ListParagraph"/>
        <w:numPr>
          <w:ilvl w:val="0"/>
          <w:numId w:val="23"/>
        </w:numPr>
        <w:rPr>
          <w:rFonts w:ascii="Arial" w:hAnsi="Arial" w:cs="Arial"/>
          <w:sz w:val="24"/>
        </w:rPr>
      </w:pPr>
      <w:r w:rsidRPr="004228A3">
        <w:rPr>
          <w:rFonts w:ascii="Arial" w:hAnsi="Arial" w:cs="Arial"/>
          <w:sz w:val="24"/>
        </w:rPr>
        <w:t>Further refinement of information supplied by programme leads may identify additional risk</w:t>
      </w:r>
      <w:r w:rsidR="00177AD9" w:rsidRPr="004228A3">
        <w:rPr>
          <w:rFonts w:ascii="Arial" w:hAnsi="Arial" w:cs="Arial"/>
          <w:sz w:val="24"/>
        </w:rPr>
        <w:t xml:space="preserve">, change of priority and </w:t>
      </w:r>
      <w:r w:rsidR="00FC6F00">
        <w:rPr>
          <w:rFonts w:ascii="Arial" w:hAnsi="Arial" w:cs="Arial"/>
          <w:sz w:val="24"/>
        </w:rPr>
        <w:t xml:space="preserve">change in </w:t>
      </w:r>
      <w:r w:rsidR="00177AD9" w:rsidRPr="004228A3">
        <w:rPr>
          <w:rFonts w:ascii="Arial" w:hAnsi="Arial" w:cs="Arial"/>
          <w:sz w:val="24"/>
        </w:rPr>
        <w:t>cost</w:t>
      </w:r>
      <w:r w:rsidR="00E71B1F">
        <w:rPr>
          <w:rFonts w:ascii="Arial" w:hAnsi="Arial" w:cs="Arial"/>
          <w:sz w:val="24"/>
        </w:rPr>
        <w:t>.</w:t>
      </w:r>
    </w:p>
    <w:p w14:paraId="3AF93E3E" w14:textId="77777777" w:rsidR="000D645A" w:rsidRPr="004228A3" w:rsidRDefault="00CC4EA9" w:rsidP="001D53E0">
      <w:pPr>
        <w:pStyle w:val="ListParagraph"/>
        <w:numPr>
          <w:ilvl w:val="0"/>
          <w:numId w:val="23"/>
        </w:numPr>
        <w:rPr>
          <w:rFonts w:ascii="Arial" w:hAnsi="Arial" w:cs="Arial"/>
          <w:sz w:val="24"/>
        </w:rPr>
      </w:pPr>
      <w:r w:rsidRPr="004228A3">
        <w:rPr>
          <w:rFonts w:ascii="Arial" w:hAnsi="Arial" w:cs="Arial"/>
          <w:sz w:val="24"/>
        </w:rPr>
        <w:t>Whilst c</w:t>
      </w:r>
      <w:r w:rsidR="00177AD9" w:rsidRPr="004228A3">
        <w:rPr>
          <w:rFonts w:ascii="Arial" w:hAnsi="Arial" w:cs="Arial"/>
          <w:sz w:val="24"/>
        </w:rPr>
        <w:t>apital planning</w:t>
      </w:r>
      <w:r w:rsidRPr="004228A3">
        <w:rPr>
          <w:rFonts w:ascii="Arial" w:hAnsi="Arial" w:cs="Arial"/>
          <w:sz w:val="24"/>
        </w:rPr>
        <w:t xml:space="preserve"> will</w:t>
      </w:r>
      <w:r w:rsidR="00177AD9" w:rsidRPr="004228A3">
        <w:rPr>
          <w:rFonts w:ascii="Arial" w:hAnsi="Arial" w:cs="Arial"/>
          <w:sz w:val="24"/>
        </w:rPr>
        <w:t xml:space="preserve"> work closely with </w:t>
      </w:r>
      <w:r w:rsidRPr="004228A3">
        <w:rPr>
          <w:rFonts w:ascii="Arial" w:hAnsi="Arial" w:cs="Arial"/>
          <w:sz w:val="24"/>
        </w:rPr>
        <w:t>business areas to ensure the pipeline is accurate and captures all immediate priorities, there is still</w:t>
      </w:r>
      <w:r w:rsidR="00911F81">
        <w:rPr>
          <w:rFonts w:ascii="Arial" w:hAnsi="Arial" w:cs="Arial"/>
          <w:sz w:val="24"/>
        </w:rPr>
        <w:t xml:space="preserve"> a</w:t>
      </w:r>
      <w:r w:rsidRPr="004228A3">
        <w:rPr>
          <w:rFonts w:ascii="Arial" w:hAnsi="Arial" w:cs="Arial"/>
          <w:sz w:val="24"/>
        </w:rPr>
        <w:t xml:space="preserve"> risk that an unexpected capital request is submitted which requires immediate action and </w:t>
      </w:r>
      <w:r w:rsidR="00911F81">
        <w:rPr>
          <w:rFonts w:ascii="Arial" w:hAnsi="Arial" w:cs="Arial"/>
          <w:sz w:val="24"/>
        </w:rPr>
        <w:t>needs prioritised over projects already agreed.</w:t>
      </w:r>
    </w:p>
    <w:p w14:paraId="06D5ACEA" w14:textId="77777777" w:rsidR="00EF7BE4" w:rsidRDefault="00177AD9" w:rsidP="001D53E0">
      <w:pPr>
        <w:pStyle w:val="ListParagraph"/>
        <w:numPr>
          <w:ilvl w:val="0"/>
          <w:numId w:val="23"/>
        </w:numPr>
        <w:rPr>
          <w:rFonts w:ascii="Arial" w:hAnsi="Arial" w:cs="Arial"/>
          <w:sz w:val="24"/>
        </w:rPr>
      </w:pPr>
      <w:r w:rsidRPr="004228A3">
        <w:rPr>
          <w:rFonts w:ascii="Arial" w:hAnsi="Arial" w:cs="Arial"/>
          <w:sz w:val="24"/>
        </w:rPr>
        <w:t>External support costs to resource projects may require further assessment of in-year deliverability if the required investment is beyond current estimates. Capital Planning and Estates</w:t>
      </w:r>
      <w:r w:rsidR="00FC6F00">
        <w:rPr>
          <w:rFonts w:ascii="Arial" w:hAnsi="Arial" w:cs="Arial"/>
          <w:sz w:val="24"/>
        </w:rPr>
        <w:t xml:space="preserve"> will </w:t>
      </w:r>
      <w:r w:rsidRPr="004228A3">
        <w:rPr>
          <w:rFonts w:ascii="Arial" w:hAnsi="Arial" w:cs="Arial"/>
          <w:sz w:val="24"/>
        </w:rPr>
        <w:t>oversee these additional items (for large ‘emerging risks’ and ‘other assets’ project items)</w:t>
      </w:r>
      <w:r w:rsidR="00E71B1F">
        <w:rPr>
          <w:rFonts w:ascii="Arial" w:hAnsi="Arial" w:cs="Arial"/>
          <w:sz w:val="24"/>
        </w:rPr>
        <w:t>.</w:t>
      </w:r>
    </w:p>
    <w:p w14:paraId="4E573F0F" w14:textId="77777777" w:rsidR="003046EC" w:rsidRPr="004228A3" w:rsidRDefault="003046EC" w:rsidP="001D53E0">
      <w:pPr>
        <w:pStyle w:val="ListParagraph"/>
        <w:numPr>
          <w:ilvl w:val="0"/>
          <w:numId w:val="23"/>
        </w:numPr>
        <w:rPr>
          <w:rFonts w:ascii="Arial" w:hAnsi="Arial" w:cs="Arial"/>
          <w:sz w:val="24"/>
        </w:rPr>
      </w:pPr>
      <w:r>
        <w:rPr>
          <w:rFonts w:ascii="Arial" w:hAnsi="Arial" w:cs="Arial"/>
          <w:sz w:val="24"/>
        </w:rPr>
        <w:t>Projects that require larger lead in times awaiting confirmation of further funding might not be completed by 31</w:t>
      </w:r>
      <w:r w:rsidRPr="003046EC">
        <w:rPr>
          <w:rFonts w:ascii="Arial" w:hAnsi="Arial" w:cs="Arial"/>
          <w:sz w:val="24"/>
          <w:vertAlign w:val="superscript"/>
        </w:rPr>
        <w:t>st</w:t>
      </w:r>
      <w:r>
        <w:rPr>
          <w:rFonts w:ascii="Arial" w:hAnsi="Arial" w:cs="Arial"/>
          <w:sz w:val="24"/>
        </w:rPr>
        <w:t xml:space="preserve"> March</w:t>
      </w:r>
      <w:r w:rsidR="00E71B1F">
        <w:rPr>
          <w:rFonts w:ascii="Arial" w:hAnsi="Arial" w:cs="Arial"/>
          <w:sz w:val="24"/>
        </w:rPr>
        <w:t>.</w:t>
      </w:r>
    </w:p>
    <w:p w14:paraId="041B092E" w14:textId="77777777" w:rsidR="00177AD9" w:rsidRPr="004228A3" w:rsidRDefault="00177AD9" w:rsidP="001D53E0">
      <w:pPr>
        <w:pStyle w:val="ListParagraph"/>
        <w:autoSpaceDE w:val="0"/>
        <w:autoSpaceDN w:val="0"/>
        <w:adjustRightInd w:val="0"/>
        <w:spacing w:before="40" w:after="40" w:line="276" w:lineRule="auto"/>
        <w:ind w:left="1800"/>
        <w:rPr>
          <w:rFonts w:ascii="Arial" w:hAnsi="Arial" w:cs="Arial"/>
          <w:color w:val="000000"/>
          <w:szCs w:val="24"/>
        </w:rPr>
      </w:pPr>
    </w:p>
    <w:p w14:paraId="1C3BDE50" w14:textId="77777777" w:rsidR="00F3337D" w:rsidRPr="004228A3" w:rsidRDefault="00C87B62" w:rsidP="001D53E0">
      <w:pPr>
        <w:pStyle w:val="Heading3"/>
        <w:spacing w:line="276" w:lineRule="auto"/>
        <w:rPr>
          <w:rFonts w:cs="Arial"/>
        </w:rPr>
      </w:pPr>
      <w:r w:rsidRPr="004228A3">
        <w:rPr>
          <w:rFonts w:cs="Arial"/>
        </w:rPr>
        <w:t>2</w:t>
      </w:r>
      <w:r w:rsidR="00BF3AF0" w:rsidRPr="004228A3">
        <w:rPr>
          <w:rFonts w:cs="Arial"/>
        </w:rPr>
        <w:t>.3.5</w:t>
      </w:r>
      <w:r w:rsidR="00BF3AF0" w:rsidRPr="004228A3">
        <w:rPr>
          <w:rFonts w:cs="Arial"/>
        </w:rPr>
        <w:tab/>
      </w:r>
      <w:r w:rsidR="00F3337D" w:rsidRPr="004228A3">
        <w:rPr>
          <w:rFonts w:cs="Arial"/>
        </w:rPr>
        <w:t>Equality and Diversity, including health inequalities</w:t>
      </w:r>
    </w:p>
    <w:p w14:paraId="3FCC6A2B" w14:textId="77777777" w:rsidR="00F3337D" w:rsidRPr="004228A3" w:rsidRDefault="007B0513" w:rsidP="001D53E0">
      <w:pPr>
        <w:ind w:left="720"/>
        <w:rPr>
          <w:rFonts w:cs="Arial"/>
          <w:color w:val="000000"/>
          <w:szCs w:val="24"/>
        </w:rPr>
      </w:pPr>
      <w:r w:rsidRPr="004228A3">
        <w:rPr>
          <w:rFonts w:cs="Arial"/>
          <w:color w:val="000000"/>
          <w:szCs w:val="24"/>
        </w:rPr>
        <w:t xml:space="preserve">An impact assessment is not required to be completed. </w:t>
      </w:r>
      <w:r w:rsidRPr="004228A3">
        <w:rPr>
          <w:rFonts w:eastAsiaTheme="minorHAnsi" w:cs="Arial"/>
          <w:spacing w:val="0"/>
          <w:szCs w:val="24"/>
        </w:rPr>
        <w:t xml:space="preserve">This paper documents factual information only, with no proposals for action or change that will </w:t>
      </w:r>
      <w:r w:rsidRPr="004228A3">
        <w:rPr>
          <w:rFonts w:eastAsiaTheme="minorHAnsi" w:cs="Arial"/>
          <w:szCs w:val="24"/>
        </w:rPr>
        <w:t xml:space="preserve">impact on people. </w:t>
      </w:r>
      <w:r w:rsidRPr="004228A3">
        <w:rPr>
          <w:rFonts w:cs="Arial"/>
          <w:color w:val="000000"/>
          <w:szCs w:val="24"/>
        </w:rPr>
        <w:t>However, all relevant Board strategies and policies will be considered should any developments progress.</w:t>
      </w:r>
    </w:p>
    <w:p w14:paraId="2011DBEC" w14:textId="77777777" w:rsidR="00BF3AF0" w:rsidRPr="004228A3" w:rsidRDefault="00BF3AF0" w:rsidP="001D53E0">
      <w:pPr>
        <w:spacing w:before="40" w:after="40" w:line="276" w:lineRule="auto"/>
        <w:ind w:left="1440"/>
        <w:rPr>
          <w:rFonts w:cs="Arial"/>
          <w:color w:val="000000"/>
          <w:szCs w:val="24"/>
          <w:highlight w:val="lightGray"/>
        </w:rPr>
      </w:pPr>
    </w:p>
    <w:p w14:paraId="682EC094" w14:textId="77777777" w:rsidR="00446219" w:rsidRPr="004228A3" w:rsidRDefault="00C87B62" w:rsidP="001D53E0">
      <w:pPr>
        <w:pStyle w:val="Heading3"/>
        <w:rPr>
          <w:rFonts w:cs="Arial"/>
        </w:rPr>
      </w:pPr>
      <w:r w:rsidRPr="004228A3">
        <w:rPr>
          <w:rFonts w:cs="Arial"/>
        </w:rPr>
        <w:t>2</w:t>
      </w:r>
      <w:r w:rsidR="00BF3AF0" w:rsidRPr="004228A3">
        <w:rPr>
          <w:rFonts w:cs="Arial"/>
        </w:rPr>
        <w:t>.3.6</w:t>
      </w:r>
      <w:r w:rsidR="00BF3AF0" w:rsidRPr="004228A3">
        <w:rPr>
          <w:rFonts w:cs="Arial"/>
        </w:rPr>
        <w:tab/>
      </w:r>
      <w:r w:rsidR="00446219" w:rsidRPr="004228A3">
        <w:rPr>
          <w:rFonts w:cs="Arial"/>
        </w:rPr>
        <w:t>Other</w:t>
      </w:r>
      <w:r w:rsidR="00BF3AF0" w:rsidRPr="004228A3">
        <w:rPr>
          <w:rFonts w:cs="Arial"/>
        </w:rPr>
        <w:t xml:space="preserve"> impacts</w:t>
      </w:r>
    </w:p>
    <w:p w14:paraId="649ED16B" w14:textId="77777777" w:rsidR="006C5C9F" w:rsidRPr="004228A3" w:rsidRDefault="006C5C9F" w:rsidP="001D53E0">
      <w:pPr>
        <w:autoSpaceDE w:val="0"/>
        <w:autoSpaceDN w:val="0"/>
        <w:adjustRightInd w:val="0"/>
        <w:ind w:firstLine="720"/>
        <w:rPr>
          <w:rFonts w:eastAsiaTheme="minorHAnsi" w:cs="Arial"/>
          <w:color w:val="000000"/>
          <w:spacing w:val="0"/>
          <w:szCs w:val="23"/>
        </w:rPr>
      </w:pPr>
      <w:r w:rsidRPr="004228A3">
        <w:rPr>
          <w:rFonts w:eastAsiaTheme="minorHAnsi" w:cs="Arial"/>
          <w:b/>
          <w:bCs/>
          <w:color w:val="000000"/>
          <w:spacing w:val="0"/>
          <w:szCs w:val="23"/>
        </w:rPr>
        <w:t xml:space="preserve">Climate Emergency and Sustainability </w:t>
      </w:r>
    </w:p>
    <w:p w14:paraId="3BD4E60A" w14:textId="77777777" w:rsidR="00AA77F7" w:rsidRPr="004228A3" w:rsidRDefault="007B0513" w:rsidP="001D53E0">
      <w:pPr>
        <w:pStyle w:val="ListParagraph"/>
        <w:rPr>
          <w:rFonts w:ascii="Arial" w:eastAsia="Times New Roman" w:hAnsi="Arial" w:cs="Arial"/>
          <w:color w:val="000000"/>
          <w:spacing w:val="-3"/>
          <w:sz w:val="24"/>
          <w:szCs w:val="24"/>
          <w:lang w:eastAsia="en-US"/>
        </w:rPr>
      </w:pPr>
      <w:r w:rsidRPr="004228A3">
        <w:rPr>
          <w:rFonts w:ascii="Arial" w:eastAsia="Times New Roman" w:hAnsi="Arial" w:cs="Arial"/>
          <w:color w:val="000000"/>
          <w:spacing w:val="-3"/>
          <w:sz w:val="24"/>
          <w:szCs w:val="24"/>
          <w:lang w:eastAsia="en-US"/>
        </w:rPr>
        <w:t>No other impacts require to be noted</w:t>
      </w:r>
      <w:r w:rsidR="00E71B1F">
        <w:rPr>
          <w:rFonts w:ascii="Arial" w:eastAsia="Times New Roman" w:hAnsi="Arial" w:cs="Arial"/>
          <w:color w:val="000000"/>
          <w:spacing w:val="-3"/>
          <w:sz w:val="24"/>
          <w:szCs w:val="24"/>
          <w:lang w:eastAsia="en-US"/>
        </w:rPr>
        <w:t>.</w:t>
      </w:r>
    </w:p>
    <w:p w14:paraId="7189E43F" w14:textId="77777777" w:rsidR="007B0513" w:rsidRPr="004228A3" w:rsidRDefault="007B0513" w:rsidP="001D53E0">
      <w:pPr>
        <w:pStyle w:val="ListParagraph"/>
        <w:rPr>
          <w:rFonts w:ascii="Arial" w:hAnsi="Arial" w:cs="Arial"/>
          <w:color w:val="000000"/>
          <w:sz w:val="24"/>
          <w:szCs w:val="24"/>
        </w:rPr>
      </w:pPr>
    </w:p>
    <w:p w14:paraId="52064430" w14:textId="77777777" w:rsidR="00446219" w:rsidRPr="004228A3" w:rsidRDefault="00446219" w:rsidP="001D53E0">
      <w:pPr>
        <w:pStyle w:val="Heading3"/>
        <w:numPr>
          <w:ilvl w:val="2"/>
          <w:numId w:val="16"/>
        </w:numPr>
        <w:rPr>
          <w:rFonts w:eastAsia="Times New Roman" w:cs="Arial"/>
        </w:rPr>
      </w:pPr>
      <w:r w:rsidRPr="004228A3">
        <w:rPr>
          <w:rFonts w:eastAsia="Times New Roman" w:cs="Arial"/>
        </w:rPr>
        <w:t>Communication, involvement, engagement and consultation</w:t>
      </w:r>
    </w:p>
    <w:p w14:paraId="5572D6A7" w14:textId="77777777" w:rsidR="007B0513" w:rsidRPr="004228A3" w:rsidRDefault="007B0513" w:rsidP="001D53E0">
      <w:pPr>
        <w:ind w:left="720"/>
        <w:rPr>
          <w:rFonts w:eastAsiaTheme="minorHAnsi" w:cs="Arial"/>
          <w:szCs w:val="24"/>
        </w:rPr>
      </w:pPr>
      <w:r w:rsidRPr="004228A3">
        <w:rPr>
          <w:rFonts w:eastAsiaTheme="minorHAnsi" w:cs="Arial"/>
          <w:szCs w:val="24"/>
        </w:rPr>
        <w:t xml:space="preserve">Consultation and engagement with programme leads, external suppliers and divisional directorates have commenced following successful allocation of funding. </w:t>
      </w:r>
    </w:p>
    <w:p w14:paraId="31A1B01E" w14:textId="77777777" w:rsidR="007B0513" w:rsidRPr="004228A3" w:rsidRDefault="007B0513" w:rsidP="001D53E0">
      <w:pPr>
        <w:ind w:left="720"/>
        <w:rPr>
          <w:rFonts w:eastAsiaTheme="minorHAnsi" w:cs="Arial"/>
          <w:szCs w:val="24"/>
        </w:rPr>
      </w:pPr>
    </w:p>
    <w:p w14:paraId="22EE3482" w14:textId="77777777" w:rsidR="007B0513" w:rsidRPr="004228A3" w:rsidRDefault="007B0513" w:rsidP="001D53E0">
      <w:pPr>
        <w:ind w:left="720"/>
        <w:rPr>
          <w:rFonts w:cs="Arial"/>
          <w:color w:val="000000"/>
          <w:szCs w:val="24"/>
        </w:rPr>
      </w:pPr>
      <w:r w:rsidRPr="004228A3">
        <w:rPr>
          <w:rFonts w:cs="Arial"/>
          <w:color w:val="000000"/>
          <w:szCs w:val="24"/>
        </w:rPr>
        <w:t>The Executive Leadership Team receives the monthly Finance R</w:t>
      </w:r>
      <w:r w:rsidR="00E71B1F">
        <w:rPr>
          <w:rFonts w:cs="Arial"/>
          <w:color w:val="000000"/>
          <w:szCs w:val="24"/>
        </w:rPr>
        <w:t>eport as one of their standing a</w:t>
      </w:r>
      <w:r w:rsidRPr="004228A3">
        <w:rPr>
          <w:rFonts w:cs="Arial"/>
          <w:color w:val="000000"/>
          <w:szCs w:val="24"/>
        </w:rPr>
        <w:t>genda items and in addition, the monthly financial positon is provided to Scottish Government through the completion of their standard Financial Performance Return (FPR) templates.</w:t>
      </w:r>
    </w:p>
    <w:p w14:paraId="27612F40" w14:textId="77777777" w:rsidR="00B851FC" w:rsidRPr="004228A3" w:rsidRDefault="00B851FC" w:rsidP="001D53E0">
      <w:pPr>
        <w:spacing w:before="40" w:after="40" w:line="276" w:lineRule="auto"/>
        <w:rPr>
          <w:rFonts w:cs="Arial"/>
          <w:szCs w:val="24"/>
          <w:highlight w:val="lightGray"/>
        </w:rPr>
      </w:pPr>
    </w:p>
    <w:p w14:paraId="565E83CA" w14:textId="77777777" w:rsidR="00446219" w:rsidRPr="004228A3" w:rsidRDefault="00446219" w:rsidP="001D53E0">
      <w:pPr>
        <w:pStyle w:val="Heading3"/>
        <w:numPr>
          <w:ilvl w:val="2"/>
          <w:numId w:val="16"/>
        </w:numPr>
        <w:rPr>
          <w:rFonts w:cs="Arial"/>
        </w:rPr>
      </w:pPr>
      <w:r w:rsidRPr="004228A3">
        <w:rPr>
          <w:rFonts w:cs="Arial"/>
        </w:rPr>
        <w:t>Route to the Meeting</w:t>
      </w:r>
    </w:p>
    <w:p w14:paraId="02F2B88C" w14:textId="77777777" w:rsidR="001B792B" w:rsidRDefault="001B792B" w:rsidP="001D53E0">
      <w:pPr>
        <w:spacing w:line="276" w:lineRule="auto"/>
        <w:ind w:left="720"/>
        <w:rPr>
          <w:rFonts w:cs="Arial"/>
        </w:rPr>
      </w:pPr>
      <w:r w:rsidRPr="001B792B">
        <w:rPr>
          <w:rFonts w:cs="Arial"/>
        </w:rPr>
        <w:t>This has been previously considered by the following groups as part of its development. The groups have either supported the content, or their feedback has informed the development of the content presented in this report.</w:t>
      </w:r>
    </w:p>
    <w:p w14:paraId="349E965F" w14:textId="77777777" w:rsidR="001B792B" w:rsidRPr="001B792B" w:rsidRDefault="001B792B" w:rsidP="001D53E0">
      <w:pPr>
        <w:spacing w:line="276" w:lineRule="auto"/>
        <w:ind w:left="720"/>
        <w:rPr>
          <w:rFonts w:cs="Arial"/>
        </w:rPr>
      </w:pPr>
    </w:p>
    <w:p w14:paraId="42FB873E" w14:textId="77777777" w:rsidR="00446219" w:rsidRPr="0015248E" w:rsidRDefault="007B0513" w:rsidP="001D53E0">
      <w:pPr>
        <w:pStyle w:val="ListParagraph"/>
        <w:numPr>
          <w:ilvl w:val="0"/>
          <w:numId w:val="5"/>
        </w:numPr>
        <w:spacing w:line="276" w:lineRule="auto"/>
        <w:rPr>
          <w:rFonts w:ascii="Arial" w:hAnsi="Arial" w:cs="Arial"/>
          <w:sz w:val="24"/>
        </w:rPr>
      </w:pPr>
      <w:r w:rsidRPr="0015248E">
        <w:rPr>
          <w:rFonts w:ascii="Arial" w:hAnsi="Arial" w:cs="Arial"/>
          <w:sz w:val="24"/>
        </w:rPr>
        <w:t xml:space="preserve">Strategic Planning Delivery Group, </w:t>
      </w:r>
      <w:r w:rsidR="0015248E" w:rsidRPr="0015248E">
        <w:rPr>
          <w:rFonts w:ascii="Arial" w:hAnsi="Arial" w:cs="Arial"/>
          <w:sz w:val="24"/>
        </w:rPr>
        <w:t>September</w:t>
      </w:r>
      <w:r w:rsidRPr="0015248E">
        <w:rPr>
          <w:rFonts w:ascii="Arial" w:hAnsi="Arial" w:cs="Arial"/>
          <w:sz w:val="24"/>
        </w:rPr>
        <w:t xml:space="preserve"> 2025</w:t>
      </w:r>
    </w:p>
    <w:p w14:paraId="46802001" w14:textId="53142BCD" w:rsidR="003046EC" w:rsidRDefault="003046EC" w:rsidP="001D53E0">
      <w:pPr>
        <w:pStyle w:val="ListParagraph"/>
        <w:numPr>
          <w:ilvl w:val="0"/>
          <w:numId w:val="5"/>
        </w:numPr>
        <w:spacing w:line="276" w:lineRule="auto"/>
        <w:rPr>
          <w:rFonts w:ascii="Arial" w:hAnsi="Arial" w:cs="Arial"/>
          <w:sz w:val="24"/>
        </w:rPr>
      </w:pPr>
      <w:r>
        <w:rPr>
          <w:rFonts w:ascii="Arial" w:hAnsi="Arial" w:cs="Arial"/>
          <w:sz w:val="24"/>
        </w:rPr>
        <w:t>Capital Delivery Group, September 2025</w:t>
      </w:r>
    </w:p>
    <w:p w14:paraId="47E12CE4" w14:textId="6CC8743C" w:rsidR="001D53E0" w:rsidRPr="004228A3" w:rsidRDefault="001D53E0" w:rsidP="001D53E0">
      <w:pPr>
        <w:pStyle w:val="ListParagraph"/>
        <w:numPr>
          <w:ilvl w:val="0"/>
          <w:numId w:val="5"/>
        </w:numPr>
        <w:spacing w:line="276" w:lineRule="auto"/>
        <w:rPr>
          <w:rFonts w:ascii="Arial" w:hAnsi="Arial" w:cs="Arial"/>
          <w:sz w:val="24"/>
        </w:rPr>
      </w:pPr>
      <w:r>
        <w:rPr>
          <w:rFonts w:ascii="Arial" w:hAnsi="Arial" w:cs="Arial"/>
          <w:sz w:val="24"/>
        </w:rPr>
        <w:t>Finance and Performance Committee, November 2025</w:t>
      </w:r>
    </w:p>
    <w:p w14:paraId="3C588EF8" w14:textId="77777777" w:rsidR="00430C09" w:rsidRPr="004228A3" w:rsidRDefault="00430C09" w:rsidP="001D53E0">
      <w:pPr>
        <w:pStyle w:val="Heading2"/>
        <w:spacing w:line="276" w:lineRule="auto"/>
        <w:rPr>
          <w:rFonts w:cs="Arial"/>
        </w:rPr>
      </w:pPr>
    </w:p>
    <w:p w14:paraId="2C719A4F" w14:textId="77777777" w:rsidR="00BF3AF0" w:rsidRPr="004228A3" w:rsidRDefault="00C87B62" w:rsidP="001D53E0">
      <w:pPr>
        <w:pStyle w:val="Heading2"/>
        <w:rPr>
          <w:rFonts w:cs="Arial"/>
        </w:rPr>
      </w:pPr>
      <w:r w:rsidRPr="004228A3">
        <w:rPr>
          <w:rFonts w:cs="Arial"/>
        </w:rPr>
        <w:t>2.</w:t>
      </w:r>
      <w:r w:rsidR="00BF3AF0" w:rsidRPr="004228A3">
        <w:rPr>
          <w:rFonts w:cs="Arial"/>
        </w:rPr>
        <w:t>4</w:t>
      </w:r>
      <w:r w:rsidR="00BF3AF0" w:rsidRPr="004228A3">
        <w:rPr>
          <w:rFonts w:cs="Arial"/>
        </w:rPr>
        <w:tab/>
        <w:t>Recommendation</w:t>
      </w:r>
    </w:p>
    <w:p w14:paraId="1D3996DA" w14:textId="77777777" w:rsidR="00BF3AF0" w:rsidRPr="004228A3" w:rsidRDefault="00BF3AF0" w:rsidP="001D53E0">
      <w:pPr>
        <w:rPr>
          <w:rFonts w:cs="Arial"/>
        </w:rPr>
      </w:pPr>
    </w:p>
    <w:p w14:paraId="455CEDFB" w14:textId="77777777" w:rsidR="001B792B" w:rsidRPr="004228A3" w:rsidRDefault="001B792B" w:rsidP="001D53E0">
      <w:pPr>
        <w:numPr>
          <w:ilvl w:val="0"/>
          <w:numId w:val="1"/>
        </w:numPr>
        <w:spacing w:before="40" w:after="40" w:line="276" w:lineRule="auto"/>
        <w:ind w:hanging="252"/>
        <w:rPr>
          <w:rFonts w:cs="Arial"/>
          <w:b/>
          <w:szCs w:val="24"/>
        </w:rPr>
      </w:pPr>
      <w:r>
        <w:rPr>
          <w:rFonts w:cs="Arial"/>
          <w:b/>
          <w:color w:val="000000"/>
          <w:szCs w:val="24"/>
        </w:rPr>
        <w:t>Decision</w:t>
      </w:r>
    </w:p>
    <w:p w14:paraId="19228649" w14:textId="431890E8" w:rsidR="0015248E" w:rsidRPr="0015248E" w:rsidRDefault="001D53E0" w:rsidP="001D53E0">
      <w:pPr>
        <w:pStyle w:val="ListParagraph"/>
        <w:numPr>
          <w:ilvl w:val="1"/>
          <w:numId w:val="1"/>
        </w:numPr>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NHS Golden Jubilee Board</w:t>
      </w:r>
      <w:r w:rsidR="0015248E" w:rsidRPr="0015248E">
        <w:rPr>
          <w:rFonts w:ascii="Arial" w:eastAsiaTheme="minorHAnsi" w:hAnsi="Arial" w:cs="Arial"/>
          <w:sz w:val="24"/>
          <w:szCs w:val="24"/>
          <w:lang w:eastAsia="en-US"/>
        </w:rPr>
        <w:t xml:space="preserve"> is asked to confirm that it has assurance on the capital expenditure plan for 2025/26.</w:t>
      </w:r>
    </w:p>
    <w:p w14:paraId="5C8658AA" w14:textId="77777777" w:rsidR="0015248E" w:rsidRPr="0015248E" w:rsidRDefault="0015248E" w:rsidP="001D53E0">
      <w:pPr>
        <w:autoSpaceDE w:val="0"/>
        <w:autoSpaceDN w:val="0"/>
        <w:adjustRightInd w:val="0"/>
        <w:ind w:left="686"/>
        <w:rPr>
          <w:rFonts w:eastAsiaTheme="minorHAnsi" w:cs="Arial"/>
          <w:spacing w:val="0"/>
          <w:szCs w:val="24"/>
        </w:rPr>
      </w:pPr>
    </w:p>
    <w:p w14:paraId="290449CD" w14:textId="77777777" w:rsidR="00660BD6" w:rsidRDefault="00660BD6" w:rsidP="00881491">
      <w:pPr>
        <w:spacing w:before="40" w:after="40" w:line="276" w:lineRule="auto"/>
        <w:ind w:left="972"/>
        <w:rPr>
          <w:rFonts w:cs="Arial"/>
          <w:b/>
          <w:szCs w:val="24"/>
        </w:rPr>
      </w:pPr>
    </w:p>
    <w:p w14:paraId="2490015C" w14:textId="77777777" w:rsidR="001B792B" w:rsidRPr="004228A3" w:rsidRDefault="001B792B" w:rsidP="00881491">
      <w:pPr>
        <w:spacing w:before="40" w:after="40" w:line="276" w:lineRule="auto"/>
        <w:ind w:left="972"/>
        <w:rPr>
          <w:rFonts w:cs="Arial"/>
          <w:b/>
          <w:szCs w:val="24"/>
        </w:rPr>
      </w:pPr>
    </w:p>
    <w:p w14:paraId="4390EFA0" w14:textId="77777777" w:rsidR="00C87B62" w:rsidRPr="004228A3" w:rsidRDefault="00C87B62" w:rsidP="00881491">
      <w:pPr>
        <w:pStyle w:val="Heading2"/>
        <w:numPr>
          <w:ilvl w:val="0"/>
          <w:numId w:val="16"/>
        </w:numPr>
        <w:spacing w:line="276" w:lineRule="auto"/>
        <w:rPr>
          <w:rFonts w:cs="Arial"/>
        </w:rPr>
      </w:pPr>
      <w:r w:rsidRPr="004228A3">
        <w:rPr>
          <w:rFonts w:cs="Arial"/>
        </w:rPr>
        <w:t>List of appendices</w:t>
      </w:r>
    </w:p>
    <w:p w14:paraId="2A45B8B9" w14:textId="77777777" w:rsidR="00C87B62" w:rsidRPr="004228A3" w:rsidRDefault="00C87B62" w:rsidP="00881491">
      <w:pPr>
        <w:spacing w:before="40" w:after="40" w:line="276" w:lineRule="auto"/>
        <w:rPr>
          <w:rFonts w:cs="Arial"/>
          <w:color w:val="000000" w:themeColor="text1"/>
          <w:szCs w:val="24"/>
        </w:rPr>
      </w:pPr>
    </w:p>
    <w:p w14:paraId="4FCC64C0" w14:textId="77777777" w:rsidR="00C87B62" w:rsidRPr="004228A3" w:rsidRDefault="00C87B62" w:rsidP="00881491">
      <w:pPr>
        <w:spacing w:before="40" w:after="40" w:line="276" w:lineRule="auto"/>
        <w:ind w:firstLine="525"/>
        <w:rPr>
          <w:rFonts w:cs="Arial"/>
          <w:color w:val="000000"/>
          <w:szCs w:val="24"/>
        </w:rPr>
      </w:pPr>
      <w:r w:rsidRPr="004228A3">
        <w:rPr>
          <w:rFonts w:cs="Arial"/>
          <w:color w:val="000000" w:themeColor="text1"/>
          <w:szCs w:val="24"/>
        </w:rPr>
        <w:t xml:space="preserve">The following appendices are included </w:t>
      </w:r>
      <w:r w:rsidR="00911F81">
        <w:rPr>
          <w:rFonts w:cs="Arial"/>
          <w:color w:val="000000" w:themeColor="text1"/>
          <w:szCs w:val="24"/>
        </w:rPr>
        <w:t>as part of this report</w:t>
      </w:r>
      <w:r w:rsidRPr="004228A3">
        <w:rPr>
          <w:rFonts w:cs="Arial"/>
          <w:color w:val="000000" w:themeColor="text1"/>
          <w:szCs w:val="24"/>
        </w:rPr>
        <w:t>:</w:t>
      </w:r>
    </w:p>
    <w:p w14:paraId="6F4207E4" w14:textId="77777777" w:rsidR="008644FD" w:rsidRPr="0021611E" w:rsidRDefault="0021611E" w:rsidP="0021611E">
      <w:pPr>
        <w:pStyle w:val="ListParagraph"/>
        <w:numPr>
          <w:ilvl w:val="0"/>
          <w:numId w:val="17"/>
        </w:numPr>
        <w:spacing w:before="40" w:after="40" w:line="276" w:lineRule="auto"/>
        <w:ind w:left="993" w:hanging="284"/>
        <w:rPr>
          <w:rFonts w:ascii="Arial" w:hAnsi="Arial" w:cs="Arial"/>
          <w:color w:val="000000"/>
          <w:szCs w:val="24"/>
        </w:rPr>
      </w:pPr>
      <w:r>
        <w:rPr>
          <w:rFonts w:ascii="Arial" w:hAnsi="Arial" w:cs="Arial"/>
          <w:color w:val="000000"/>
          <w:sz w:val="24"/>
          <w:szCs w:val="24"/>
        </w:rPr>
        <w:t>Appendix 1</w:t>
      </w:r>
      <w:r w:rsidRPr="006560AC">
        <w:rPr>
          <w:rFonts w:ascii="Arial" w:hAnsi="Arial" w:cs="Arial"/>
          <w:color w:val="000000"/>
          <w:sz w:val="24"/>
          <w:szCs w:val="24"/>
        </w:rPr>
        <w:t xml:space="preserve">, </w:t>
      </w:r>
      <w:r>
        <w:rPr>
          <w:rFonts w:ascii="Arial" w:hAnsi="Arial" w:cs="Arial"/>
          <w:color w:val="000000"/>
          <w:sz w:val="24"/>
          <w:szCs w:val="24"/>
        </w:rPr>
        <w:t>Detailed c</w:t>
      </w:r>
      <w:r w:rsidRPr="006560AC">
        <w:rPr>
          <w:rFonts w:ascii="Arial" w:hAnsi="Arial" w:cs="Arial"/>
          <w:color w:val="000000"/>
          <w:sz w:val="24"/>
          <w:szCs w:val="24"/>
        </w:rPr>
        <w:t xml:space="preserve">apital </w:t>
      </w:r>
      <w:r>
        <w:rPr>
          <w:rFonts w:ascii="Arial" w:hAnsi="Arial" w:cs="Arial"/>
          <w:color w:val="000000"/>
          <w:sz w:val="24"/>
          <w:szCs w:val="24"/>
        </w:rPr>
        <w:t>a</w:t>
      </w:r>
      <w:r w:rsidRPr="006560AC">
        <w:rPr>
          <w:rFonts w:ascii="Arial" w:hAnsi="Arial" w:cs="Arial"/>
          <w:color w:val="000000"/>
          <w:sz w:val="24"/>
          <w:szCs w:val="24"/>
        </w:rPr>
        <w:t xml:space="preserve">llocations list </w:t>
      </w:r>
    </w:p>
    <w:p w14:paraId="5335B67B" w14:textId="77777777" w:rsidR="0021611E" w:rsidRDefault="0021611E">
      <w:pPr>
        <w:spacing w:after="160" w:line="259" w:lineRule="auto"/>
        <w:rPr>
          <w:rFonts w:cs="Arial"/>
          <w:color w:val="000000"/>
          <w:szCs w:val="24"/>
        </w:rPr>
      </w:pPr>
      <w:r>
        <w:rPr>
          <w:rFonts w:cs="Arial"/>
          <w:color w:val="000000"/>
          <w:szCs w:val="24"/>
        </w:rPr>
        <w:br w:type="page"/>
      </w:r>
      <w:bookmarkStart w:id="0" w:name="_GoBack"/>
      <w:bookmarkEnd w:id="0"/>
    </w:p>
    <w:p w14:paraId="4EA661E0" w14:textId="77777777" w:rsidR="0021611E" w:rsidRPr="0021611E" w:rsidRDefault="0021611E" w:rsidP="0021611E">
      <w:pPr>
        <w:spacing w:before="40" w:after="40" w:line="276" w:lineRule="auto"/>
        <w:rPr>
          <w:rFonts w:cs="Arial"/>
          <w:b/>
          <w:color w:val="000000"/>
          <w:szCs w:val="24"/>
        </w:rPr>
      </w:pPr>
      <w:r w:rsidRPr="0021611E">
        <w:rPr>
          <w:rFonts w:cs="Arial"/>
          <w:b/>
          <w:color w:val="000000"/>
          <w:szCs w:val="24"/>
        </w:rPr>
        <w:lastRenderedPageBreak/>
        <w:t>APPENDIX 1 – Detailed Capital Allocations List</w:t>
      </w:r>
    </w:p>
    <w:p w14:paraId="6005BC5E" w14:textId="77777777" w:rsidR="0021611E" w:rsidRDefault="0021611E" w:rsidP="0021611E">
      <w:pPr>
        <w:spacing w:before="40" w:after="40" w:line="276" w:lineRule="auto"/>
        <w:rPr>
          <w:rFonts w:cs="Arial"/>
          <w:color w:val="000000"/>
          <w:szCs w:val="24"/>
        </w:rPr>
      </w:pPr>
    </w:p>
    <w:p w14:paraId="571854DD" w14:textId="77777777" w:rsidR="0021611E" w:rsidRPr="0021611E" w:rsidRDefault="0021611E" w:rsidP="0021611E">
      <w:pPr>
        <w:spacing w:before="40" w:after="40" w:line="276" w:lineRule="auto"/>
        <w:rPr>
          <w:rFonts w:cs="Arial"/>
          <w:color w:val="000000"/>
          <w:szCs w:val="24"/>
        </w:rPr>
      </w:pPr>
      <w:r w:rsidRPr="0021611E">
        <w:rPr>
          <w:noProof/>
          <w:lang w:eastAsia="en-GB"/>
        </w:rPr>
        <w:drawing>
          <wp:inline distT="0" distB="0" distL="0" distR="0" wp14:anchorId="326E0F2B" wp14:editId="4348A73C">
            <wp:extent cx="6390640" cy="519642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0640" cy="5196427"/>
                    </a:xfrm>
                    <a:prstGeom prst="rect">
                      <a:avLst/>
                    </a:prstGeom>
                    <a:noFill/>
                    <a:ln>
                      <a:noFill/>
                    </a:ln>
                  </pic:spPr>
                </pic:pic>
              </a:graphicData>
            </a:graphic>
          </wp:inline>
        </w:drawing>
      </w:r>
    </w:p>
    <w:sectPr w:rsidR="0021611E" w:rsidRPr="0021611E" w:rsidSect="00FD614A">
      <w:headerReference w:type="default" r:id="rId14"/>
      <w:footerReference w:type="default" r:id="rId15"/>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AE046" w14:textId="77777777" w:rsidR="0053598D" w:rsidRDefault="0053598D">
      <w:r>
        <w:separator/>
      </w:r>
    </w:p>
  </w:endnote>
  <w:endnote w:type="continuationSeparator" w:id="0">
    <w:p w14:paraId="54D54251" w14:textId="77777777" w:rsidR="0053598D" w:rsidRDefault="0053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92C01" w14:textId="77777777" w:rsidR="00610728" w:rsidRDefault="00610728" w:rsidP="003F7F61">
    <w:pPr>
      <w:pStyle w:val="Footer"/>
      <w:jc w:val="center"/>
      <w:rPr>
        <w:rFonts w:cs="Arial"/>
        <w:sz w:val="16"/>
        <w:szCs w:val="16"/>
      </w:rPr>
    </w:pPr>
  </w:p>
  <w:p w14:paraId="69D9FF6C" w14:textId="14B06DD8"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1D53E0">
      <w:rPr>
        <w:rFonts w:cs="Arial"/>
        <w:noProof/>
        <w:sz w:val="16"/>
        <w:szCs w:val="16"/>
      </w:rPr>
      <w:t>7</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1D53E0">
      <w:rPr>
        <w:rFonts w:cs="Arial"/>
        <w:noProof/>
        <w:sz w:val="16"/>
        <w:szCs w:val="16"/>
      </w:rPr>
      <w:t>7</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4FB6B" w14:textId="77777777" w:rsidR="0053598D" w:rsidRDefault="0053598D">
      <w:r>
        <w:separator/>
      </w:r>
    </w:p>
  </w:footnote>
  <w:footnote w:type="continuationSeparator" w:id="0">
    <w:p w14:paraId="66547AA5" w14:textId="77777777" w:rsidR="0053598D" w:rsidRDefault="00535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72A2D" w14:textId="70D674D6" w:rsidR="00610728" w:rsidRPr="00125A9E" w:rsidRDefault="00881491"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Item </w:t>
    </w:r>
    <w:r w:rsidR="001D53E0">
      <w:rPr>
        <w:rFonts w:cs="Arial"/>
        <w:b/>
        <w:color w:val="2E74B5" w:themeColor="accent1" w:themeShade="BF"/>
        <w:sz w:val="20"/>
      </w:rPr>
      <w:t>3.4.3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F86D7B"/>
    <w:multiLevelType w:val="hybridMultilevel"/>
    <w:tmpl w:val="CB5036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D91834"/>
    <w:multiLevelType w:val="hybridMultilevel"/>
    <w:tmpl w:val="7BECB2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4EB1704"/>
    <w:multiLevelType w:val="hybridMultilevel"/>
    <w:tmpl w:val="DBE0DE1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4CB170C"/>
    <w:multiLevelType w:val="hybridMultilevel"/>
    <w:tmpl w:val="6474480A"/>
    <w:lvl w:ilvl="0" w:tplc="769A65C2">
      <w:start w:val="2"/>
      <w:numFmt w:val="bullet"/>
      <w:lvlText w:val="-"/>
      <w:lvlJc w:val="left"/>
      <w:pPr>
        <w:ind w:left="1046" w:hanging="360"/>
      </w:pPr>
      <w:rPr>
        <w:rFonts w:ascii="Arial" w:eastAsiaTheme="minorHAnsi" w:hAnsi="Arial" w:cs="Arial" w:hint="default"/>
      </w:rPr>
    </w:lvl>
    <w:lvl w:ilvl="1" w:tplc="08090003" w:tentative="1">
      <w:start w:val="1"/>
      <w:numFmt w:val="bullet"/>
      <w:lvlText w:val="o"/>
      <w:lvlJc w:val="left"/>
      <w:pPr>
        <w:ind w:left="1766" w:hanging="360"/>
      </w:pPr>
      <w:rPr>
        <w:rFonts w:ascii="Courier New" w:hAnsi="Courier New" w:cs="Courier New" w:hint="default"/>
      </w:rPr>
    </w:lvl>
    <w:lvl w:ilvl="2" w:tplc="08090005" w:tentative="1">
      <w:start w:val="1"/>
      <w:numFmt w:val="bullet"/>
      <w:lvlText w:val=""/>
      <w:lvlJc w:val="left"/>
      <w:pPr>
        <w:ind w:left="2486" w:hanging="360"/>
      </w:pPr>
      <w:rPr>
        <w:rFonts w:ascii="Wingdings" w:hAnsi="Wingdings" w:hint="default"/>
      </w:rPr>
    </w:lvl>
    <w:lvl w:ilvl="3" w:tplc="08090001" w:tentative="1">
      <w:start w:val="1"/>
      <w:numFmt w:val="bullet"/>
      <w:lvlText w:val=""/>
      <w:lvlJc w:val="left"/>
      <w:pPr>
        <w:ind w:left="3206" w:hanging="360"/>
      </w:pPr>
      <w:rPr>
        <w:rFonts w:ascii="Symbol" w:hAnsi="Symbol" w:hint="default"/>
      </w:rPr>
    </w:lvl>
    <w:lvl w:ilvl="4" w:tplc="08090003" w:tentative="1">
      <w:start w:val="1"/>
      <w:numFmt w:val="bullet"/>
      <w:lvlText w:val="o"/>
      <w:lvlJc w:val="left"/>
      <w:pPr>
        <w:ind w:left="3926" w:hanging="360"/>
      </w:pPr>
      <w:rPr>
        <w:rFonts w:ascii="Courier New" w:hAnsi="Courier New" w:cs="Courier New" w:hint="default"/>
      </w:rPr>
    </w:lvl>
    <w:lvl w:ilvl="5" w:tplc="08090005" w:tentative="1">
      <w:start w:val="1"/>
      <w:numFmt w:val="bullet"/>
      <w:lvlText w:val=""/>
      <w:lvlJc w:val="left"/>
      <w:pPr>
        <w:ind w:left="4646" w:hanging="360"/>
      </w:pPr>
      <w:rPr>
        <w:rFonts w:ascii="Wingdings" w:hAnsi="Wingdings" w:hint="default"/>
      </w:rPr>
    </w:lvl>
    <w:lvl w:ilvl="6" w:tplc="08090001" w:tentative="1">
      <w:start w:val="1"/>
      <w:numFmt w:val="bullet"/>
      <w:lvlText w:val=""/>
      <w:lvlJc w:val="left"/>
      <w:pPr>
        <w:ind w:left="5366" w:hanging="360"/>
      </w:pPr>
      <w:rPr>
        <w:rFonts w:ascii="Symbol" w:hAnsi="Symbol" w:hint="default"/>
      </w:rPr>
    </w:lvl>
    <w:lvl w:ilvl="7" w:tplc="08090003" w:tentative="1">
      <w:start w:val="1"/>
      <w:numFmt w:val="bullet"/>
      <w:lvlText w:val="o"/>
      <w:lvlJc w:val="left"/>
      <w:pPr>
        <w:ind w:left="6086" w:hanging="360"/>
      </w:pPr>
      <w:rPr>
        <w:rFonts w:ascii="Courier New" w:hAnsi="Courier New" w:cs="Courier New" w:hint="default"/>
      </w:rPr>
    </w:lvl>
    <w:lvl w:ilvl="8" w:tplc="08090005" w:tentative="1">
      <w:start w:val="1"/>
      <w:numFmt w:val="bullet"/>
      <w:lvlText w:val=""/>
      <w:lvlJc w:val="left"/>
      <w:pPr>
        <w:ind w:left="6806" w:hanging="360"/>
      </w:pPr>
      <w:rPr>
        <w:rFonts w:ascii="Wingdings" w:hAnsi="Wingdings" w:hint="default"/>
      </w:rPr>
    </w:lvl>
  </w:abstractNum>
  <w:abstractNum w:abstractNumId="13" w15:restartNumberingAfterBreak="0">
    <w:nsid w:val="389454D3"/>
    <w:multiLevelType w:val="hybridMultilevel"/>
    <w:tmpl w:val="EFFC33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B3453D"/>
    <w:multiLevelType w:val="hybridMultilevel"/>
    <w:tmpl w:val="37C4ACFA"/>
    <w:lvl w:ilvl="0" w:tplc="B70858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8" w15:restartNumberingAfterBreak="0">
    <w:nsid w:val="4FA06745"/>
    <w:multiLevelType w:val="hybridMultilevel"/>
    <w:tmpl w:val="BB06492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4340A82"/>
    <w:multiLevelType w:val="hybridMultilevel"/>
    <w:tmpl w:val="83E092A8"/>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20"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BF74B6"/>
    <w:multiLevelType w:val="hybridMultilevel"/>
    <w:tmpl w:val="8BDE6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CD51DB"/>
    <w:multiLevelType w:val="hybridMultilevel"/>
    <w:tmpl w:val="02DCECFE"/>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24" w15:restartNumberingAfterBreak="0">
    <w:nsid w:val="5CFD22E6"/>
    <w:multiLevelType w:val="hybridMultilevel"/>
    <w:tmpl w:val="37DEA11C"/>
    <w:lvl w:ilvl="0" w:tplc="FB384338">
      <w:start w:val="2"/>
      <w:numFmt w:val="bullet"/>
      <w:lvlText w:val="-"/>
      <w:lvlJc w:val="left"/>
      <w:pPr>
        <w:ind w:left="1046" w:hanging="360"/>
      </w:pPr>
      <w:rPr>
        <w:rFonts w:ascii="Arial" w:eastAsiaTheme="minorHAnsi" w:hAnsi="Arial" w:cs="Arial" w:hint="default"/>
      </w:rPr>
    </w:lvl>
    <w:lvl w:ilvl="1" w:tplc="08090003" w:tentative="1">
      <w:start w:val="1"/>
      <w:numFmt w:val="bullet"/>
      <w:lvlText w:val="o"/>
      <w:lvlJc w:val="left"/>
      <w:pPr>
        <w:ind w:left="1766" w:hanging="360"/>
      </w:pPr>
      <w:rPr>
        <w:rFonts w:ascii="Courier New" w:hAnsi="Courier New" w:cs="Courier New" w:hint="default"/>
      </w:rPr>
    </w:lvl>
    <w:lvl w:ilvl="2" w:tplc="08090005" w:tentative="1">
      <w:start w:val="1"/>
      <w:numFmt w:val="bullet"/>
      <w:lvlText w:val=""/>
      <w:lvlJc w:val="left"/>
      <w:pPr>
        <w:ind w:left="2486" w:hanging="360"/>
      </w:pPr>
      <w:rPr>
        <w:rFonts w:ascii="Wingdings" w:hAnsi="Wingdings" w:hint="default"/>
      </w:rPr>
    </w:lvl>
    <w:lvl w:ilvl="3" w:tplc="08090001" w:tentative="1">
      <w:start w:val="1"/>
      <w:numFmt w:val="bullet"/>
      <w:lvlText w:val=""/>
      <w:lvlJc w:val="left"/>
      <w:pPr>
        <w:ind w:left="3206" w:hanging="360"/>
      </w:pPr>
      <w:rPr>
        <w:rFonts w:ascii="Symbol" w:hAnsi="Symbol" w:hint="default"/>
      </w:rPr>
    </w:lvl>
    <w:lvl w:ilvl="4" w:tplc="08090003" w:tentative="1">
      <w:start w:val="1"/>
      <w:numFmt w:val="bullet"/>
      <w:lvlText w:val="o"/>
      <w:lvlJc w:val="left"/>
      <w:pPr>
        <w:ind w:left="3926" w:hanging="360"/>
      </w:pPr>
      <w:rPr>
        <w:rFonts w:ascii="Courier New" w:hAnsi="Courier New" w:cs="Courier New" w:hint="default"/>
      </w:rPr>
    </w:lvl>
    <w:lvl w:ilvl="5" w:tplc="08090005" w:tentative="1">
      <w:start w:val="1"/>
      <w:numFmt w:val="bullet"/>
      <w:lvlText w:val=""/>
      <w:lvlJc w:val="left"/>
      <w:pPr>
        <w:ind w:left="4646" w:hanging="360"/>
      </w:pPr>
      <w:rPr>
        <w:rFonts w:ascii="Wingdings" w:hAnsi="Wingdings" w:hint="default"/>
      </w:rPr>
    </w:lvl>
    <w:lvl w:ilvl="6" w:tplc="08090001" w:tentative="1">
      <w:start w:val="1"/>
      <w:numFmt w:val="bullet"/>
      <w:lvlText w:val=""/>
      <w:lvlJc w:val="left"/>
      <w:pPr>
        <w:ind w:left="5366" w:hanging="360"/>
      </w:pPr>
      <w:rPr>
        <w:rFonts w:ascii="Symbol" w:hAnsi="Symbol" w:hint="default"/>
      </w:rPr>
    </w:lvl>
    <w:lvl w:ilvl="7" w:tplc="08090003" w:tentative="1">
      <w:start w:val="1"/>
      <w:numFmt w:val="bullet"/>
      <w:lvlText w:val="o"/>
      <w:lvlJc w:val="left"/>
      <w:pPr>
        <w:ind w:left="6086" w:hanging="360"/>
      </w:pPr>
      <w:rPr>
        <w:rFonts w:ascii="Courier New" w:hAnsi="Courier New" w:cs="Courier New" w:hint="default"/>
      </w:rPr>
    </w:lvl>
    <w:lvl w:ilvl="8" w:tplc="08090005" w:tentative="1">
      <w:start w:val="1"/>
      <w:numFmt w:val="bullet"/>
      <w:lvlText w:val=""/>
      <w:lvlJc w:val="left"/>
      <w:pPr>
        <w:ind w:left="6806" w:hanging="360"/>
      </w:pPr>
      <w:rPr>
        <w:rFonts w:ascii="Wingdings" w:hAnsi="Wingdings" w:hint="default"/>
      </w:rPr>
    </w:lvl>
  </w:abstractNum>
  <w:abstractNum w:abstractNumId="25" w15:restartNumberingAfterBreak="0">
    <w:nsid w:val="5F3C4E7A"/>
    <w:multiLevelType w:val="hybridMultilevel"/>
    <w:tmpl w:val="1B88B042"/>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6" w15:restartNumberingAfterBreak="0">
    <w:nsid w:val="65A371F5"/>
    <w:multiLevelType w:val="hybridMultilevel"/>
    <w:tmpl w:val="1CE4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5"/>
  </w:num>
  <w:num w:numId="2">
    <w:abstractNumId w:val="0"/>
  </w:num>
  <w:num w:numId="3">
    <w:abstractNumId w:val="15"/>
  </w:num>
  <w:num w:numId="4">
    <w:abstractNumId w:val="27"/>
  </w:num>
  <w:num w:numId="5">
    <w:abstractNumId w:val="10"/>
  </w:num>
  <w:num w:numId="6">
    <w:abstractNumId w:val="7"/>
  </w:num>
  <w:num w:numId="7">
    <w:abstractNumId w:val="16"/>
  </w:num>
  <w:num w:numId="8">
    <w:abstractNumId w:val="6"/>
  </w:num>
  <w:num w:numId="9">
    <w:abstractNumId w:val="20"/>
  </w:num>
  <w:num w:numId="10">
    <w:abstractNumId w:val="4"/>
  </w:num>
  <w:num w:numId="11">
    <w:abstractNumId w:val="22"/>
  </w:num>
  <w:num w:numId="12">
    <w:abstractNumId w:val="3"/>
  </w:num>
  <w:num w:numId="13">
    <w:abstractNumId w:val="5"/>
  </w:num>
  <w:num w:numId="14">
    <w:abstractNumId w:val="8"/>
  </w:num>
  <w:num w:numId="15">
    <w:abstractNumId w:val="11"/>
  </w:num>
  <w:num w:numId="16">
    <w:abstractNumId w:val="9"/>
  </w:num>
  <w:num w:numId="17">
    <w:abstractNumId w:val="17"/>
  </w:num>
  <w:num w:numId="18">
    <w:abstractNumId w:val="13"/>
  </w:num>
  <w:num w:numId="19">
    <w:abstractNumId w:val="1"/>
  </w:num>
  <w:num w:numId="20">
    <w:abstractNumId w:val="21"/>
  </w:num>
  <w:num w:numId="21">
    <w:abstractNumId w:val="2"/>
  </w:num>
  <w:num w:numId="22">
    <w:abstractNumId w:val="18"/>
  </w:num>
  <w:num w:numId="23">
    <w:abstractNumId w:val="26"/>
  </w:num>
  <w:num w:numId="24">
    <w:abstractNumId w:val="14"/>
  </w:num>
  <w:num w:numId="25">
    <w:abstractNumId w:val="12"/>
  </w:num>
  <w:num w:numId="26">
    <w:abstractNumId w:val="24"/>
  </w:num>
  <w:num w:numId="27">
    <w:abstractNumId w:val="19"/>
  </w:num>
  <w:num w:numId="28">
    <w:abstractNumId w:val="23"/>
  </w:num>
  <w:num w:numId="29">
    <w:abstractNumId w:val="2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13979"/>
    <w:rsid w:val="0002193E"/>
    <w:rsid w:val="000265BA"/>
    <w:rsid w:val="0003098A"/>
    <w:rsid w:val="00047714"/>
    <w:rsid w:val="00047794"/>
    <w:rsid w:val="0005142F"/>
    <w:rsid w:val="00091974"/>
    <w:rsid w:val="000945DB"/>
    <w:rsid w:val="000A3195"/>
    <w:rsid w:val="000D645A"/>
    <w:rsid w:val="000F7706"/>
    <w:rsid w:val="001229B5"/>
    <w:rsid w:val="00125A9E"/>
    <w:rsid w:val="00140DB3"/>
    <w:rsid w:val="0015248E"/>
    <w:rsid w:val="001772E8"/>
    <w:rsid w:val="00177AD9"/>
    <w:rsid w:val="0018786A"/>
    <w:rsid w:val="00193B8A"/>
    <w:rsid w:val="00194A18"/>
    <w:rsid w:val="001A20DC"/>
    <w:rsid w:val="001B792B"/>
    <w:rsid w:val="001C19B1"/>
    <w:rsid w:val="001D53E0"/>
    <w:rsid w:val="001F0577"/>
    <w:rsid w:val="0020036A"/>
    <w:rsid w:val="00213767"/>
    <w:rsid w:val="0021611E"/>
    <w:rsid w:val="00216A01"/>
    <w:rsid w:val="0023115B"/>
    <w:rsid w:val="0023473B"/>
    <w:rsid w:val="002709C2"/>
    <w:rsid w:val="00282B81"/>
    <w:rsid w:val="00282E0D"/>
    <w:rsid w:val="00295736"/>
    <w:rsid w:val="002B0162"/>
    <w:rsid w:val="002F7B05"/>
    <w:rsid w:val="003046EC"/>
    <w:rsid w:val="00327F91"/>
    <w:rsid w:val="00330F00"/>
    <w:rsid w:val="0033455A"/>
    <w:rsid w:val="0033790B"/>
    <w:rsid w:val="003B1B91"/>
    <w:rsid w:val="003B5289"/>
    <w:rsid w:val="003C69FD"/>
    <w:rsid w:val="003D2F3C"/>
    <w:rsid w:val="003E7E6F"/>
    <w:rsid w:val="003F44A1"/>
    <w:rsid w:val="003F7F61"/>
    <w:rsid w:val="004228A3"/>
    <w:rsid w:val="00430C09"/>
    <w:rsid w:val="00446219"/>
    <w:rsid w:val="004515CB"/>
    <w:rsid w:val="004617B9"/>
    <w:rsid w:val="00486B2B"/>
    <w:rsid w:val="004955BA"/>
    <w:rsid w:val="00495B36"/>
    <w:rsid w:val="004A14BD"/>
    <w:rsid w:val="004A39D0"/>
    <w:rsid w:val="004B12A5"/>
    <w:rsid w:val="004C24DE"/>
    <w:rsid w:val="004E7CBB"/>
    <w:rsid w:val="00505DA4"/>
    <w:rsid w:val="005228F6"/>
    <w:rsid w:val="0053598D"/>
    <w:rsid w:val="00540600"/>
    <w:rsid w:val="00575696"/>
    <w:rsid w:val="00591C18"/>
    <w:rsid w:val="005A0FA6"/>
    <w:rsid w:val="005B7FC4"/>
    <w:rsid w:val="005E5FCC"/>
    <w:rsid w:val="006104BD"/>
    <w:rsid w:val="00610728"/>
    <w:rsid w:val="006122D6"/>
    <w:rsid w:val="006173A9"/>
    <w:rsid w:val="0062122C"/>
    <w:rsid w:val="006441E8"/>
    <w:rsid w:val="00653BCC"/>
    <w:rsid w:val="00654557"/>
    <w:rsid w:val="00654C80"/>
    <w:rsid w:val="00654DBA"/>
    <w:rsid w:val="006560AC"/>
    <w:rsid w:val="00660BD6"/>
    <w:rsid w:val="00680A2F"/>
    <w:rsid w:val="00696C15"/>
    <w:rsid w:val="006B14E3"/>
    <w:rsid w:val="006C5C9F"/>
    <w:rsid w:val="006D1343"/>
    <w:rsid w:val="006E5974"/>
    <w:rsid w:val="007928ED"/>
    <w:rsid w:val="007B0513"/>
    <w:rsid w:val="007D0A3F"/>
    <w:rsid w:val="007F32CF"/>
    <w:rsid w:val="00816E22"/>
    <w:rsid w:val="00823566"/>
    <w:rsid w:val="008644FD"/>
    <w:rsid w:val="00881491"/>
    <w:rsid w:val="00884BC8"/>
    <w:rsid w:val="008E28AE"/>
    <w:rsid w:val="00911F81"/>
    <w:rsid w:val="00927C6C"/>
    <w:rsid w:val="009462A2"/>
    <w:rsid w:val="009645F7"/>
    <w:rsid w:val="009807B4"/>
    <w:rsid w:val="00982527"/>
    <w:rsid w:val="00985A93"/>
    <w:rsid w:val="00997675"/>
    <w:rsid w:val="00997E89"/>
    <w:rsid w:val="009B4415"/>
    <w:rsid w:val="009D2778"/>
    <w:rsid w:val="009E7173"/>
    <w:rsid w:val="00A05831"/>
    <w:rsid w:val="00A157B8"/>
    <w:rsid w:val="00A16DB1"/>
    <w:rsid w:val="00A235D7"/>
    <w:rsid w:val="00A2497B"/>
    <w:rsid w:val="00A2680C"/>
    <w:rsid w:val="00A26B7E"/>
    <w:rsid w:val="00A62B58"/>
    <w:rsid w:val="00A71A09"/>
    <w:rsid w:val="00A77A65"/>
    <w:rsid w:val="00A84C97"/>
    <w:rsid w:val="00A86184"/>
    <w:rsid w:val="00AA77F7"/>
    <w:rsid w:val="00AE522B"/>
    <w:rsid w:val="00AF0530"/>
    <w:rsid w:val="00AF356A"/>
    <w:rsid w:val="00B044AB"/>
    <w:rsid w:val="00B15BC4"/>
    <w:rsid w:val="00B16A92"/>
    <w:rsid w:val="00B178D4"/>
    <w:rsid w:val="00B25E90"/>
    <w:rsid w:val="00B374CA"/>
    <w:rsid w:val="00B5164C"/>
    <w:rsid w:val="00B546C8"/>
    <w:rsid w:val="00B562FA"/>
    <w:rsid w:val="00B6117D"/>
    <w:rsid w:val="00B67637"/>
    <w:rsid w:val="00B7445F"/>
    <w:rsid w:val="00B77902"/>
    <w:rsid w:val="00B851FC"/>
    <w:rsid w:val="00B92A3B"/>
    <w:rsid w:val="00BB634C"/>
    <w:rsid w:val="00BF3AF0"/>
    <w:rsid w:val="00C16434"/>
    <w:rsid w:val="00C17C90"/>
    <w:rsid w:val="00C425CE"/>
    <w:rsid w:val="00C53175"/>
    <w:rsid w:val="00C87B62"/>
    <w:rsid w:val="00C94BF7"/>
    <w:rsid w:val="00C94F5F"/>
    <w:rsid w:val="00CC0EFF"/>
    <w:rsid w:val="00CC4EA9"/>
    <w:rsid w:val="00CD4085"/>
    <w:rsid w:val="00D3197B"/>
    <w:rsid w:val="00D61779"/>
    <w:rsid w:val="00D61D63"/>
    <w:rsid w:val="00D87BD0"/>
    <w:rsid w:val="00D90049"/>
    <w:rsid w:val="00DA40A5"/>
    <w:rsid w:val="00DD2D3D"/>
    <w:rsid w:val="00DD30DF"/>
    <w:rsid w:val="00DD6252"/>
    <w:rsid w:val="00DE2D91"/>
    <w:rsid w:val="00DF1BE0"/>
    <w:rsid w:val="00E15030"/>
    <w:rsid w:val="00E67BEF"/>
    <w:rsid w:val="00E71B1F"/>
    <w:rsid w:val="00E71CD2"/>
    <w:rsid w:val="00E74B09"/>
    <w:rsid w:val="00EB7C71"/>
    <w:rsid w:val="00EF031F"/>
    <w:rsid w:val="00EF7BE4"/>
    <w:rsid w:val="00F3337D"/>
    <w:rsid w:val="00F57E23"/>
    <w:rsid w:val="00FB5121"/>
    <w:rsid w:val="00FB6339"/>
    <w:rsid w:val="00FC3781"/>
    <w:rsid w:val="00FC6F00"/>
    <w:rsid w:val="00FD0B76"/>
    <w:rsid w:val="00FD614A"/>
    <w:rsid w:val="00FE1E19"/>
    <w:rsid w:val="00FF6A53"/>
    <w:rsid w:val="222E27BC"/>
    <w:rsid w:val="363DE0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84E04"/>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styleId="NoSpacing">
    <w:name w:val="No Spacing"/>
    <w:link w:val="NoSpacingChar"/>
    <w:uiPriority w:val="1"/>
    <w:qFormat/>
    <w:rsid w:val="00BB634C"/>
    <w:pPr>
      <w:spacing w:after="0" w:line="240" w:lineRule="auto"/>
    </w:pPr>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BB634C"/>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1630">
      <w:bodyDiv w:val="1"/>
      <w:marLeft w:val="0"/>
      <w:marRight w:val="0"/>
      <w:marTop w:val="0"/>
      <w:marBottom w:val="0"/>
      <w:divBdr>
        <w:top w:val="none" w:sz="0" w:space="0" w:color="auto"/>
        <w:left w:val="none" w:sz="0" w:space="0" w:color="auto"/>
        <w:bottom w:val="none" w:sz="0" w:space="0" w:color="auto"/>
        <w:right w:val="none" w:sz="0" w:space="0" w:color="auto"/>
      </w:divBdr>
    </w:div>
    <w:div w:id="79837386">
      <w:bodyDiv w:val="1"/>
      <w:marLeft w:val="0"/>
      <w:marRight w:val="0"/>
      <w:marTop w:val="0"/>
      <w:marBottom w:val="0"/>
      <w:divBdr>
        <w:top w:val="none" w:sz="0" w:space="0" w:color="auto"/>
        <w:left w:val="none" w:sz="0" w:space="0" w:color="auto"/>
        <w:bottom w:val="none" w:sz="0" w:space="0" w:color="auto"/>
        <w:right w:val="none" w:sz="0" w:space="0" w:color="auto"/>
      </w:divBdr>
    </w:div>
    <w:div w:id="102114721">
      <w:bodyDiv w:val="1"/>
      <w:marLeft w:val="0"/>
      <w:marRight w:val="0"/>
      <w:marTop w:val="0"/>
      <w:marBottom w:val="0"/>
      <w:divBdr>
        <w:top w:val="none" w:sz="0" w:space="0" w:color="auto"/>
        <w:left w:val="none" w:sz="0" w:space="0" w:color="auto"/>
        <w:bottom w:val="none" w:sz="0" w:space="0" w:color="auto"/>
        <w:right w:val="none" w:sz="0" w:space="0" w:color="auto"/>
      </w:divBdr>
    </w:div>
    <w:div w:id="253902858">
      <w:bodyDiv w:val="1"/>
      <w:marLeft w:val="0"/>
      <w:marRight w:val="0"/>
      <w:marTop w:val="0"/>
      <w:marBottom w:val="0"/>
      <w:divBdr>
        <w:top w:val="none" w:sz="0" w:space="0" w:color="auto"/>
        <w:left w:val="none" w:sz="0" w:space="0" w:color="auto"/>
        <w:bottom w:val="none" w:sz="0" w:space="0" w:color="auto"/>
        <w:right w:val="none" w:sz="0" w:space="0" w:color="auto"/>
      </w:divBdr>
    </w:div>
    <w:div w:id="287010912">
      <w:bodyDiv w:val="1"/>
      <w:marLeft w:val="0"/>
      <w:marRight w:val="0"/>
      <w:marTop w:val="0"/>
      <w:marBottom w:val="0"/>
      <w:divBdr>
        <w:top w:val="none" w:sz="0" w:space="0" w:color="auto"/>
        <w:left w:val="none" w:sz="0" w:space="0" w:color="auto"/>
        <w:bottom w:val="none" w:sz="0" w:space="0" w:color="auto"/>
        <w:right w:val="none" w:sz="0" w:space="0" w:color="auto"/>
      </w:divBdr>
    </w:div>
    <w:div w:id="465927593">
      <w:bodyDiv w:val="1"/>
      <w:marLeft w:val="0"/>
      <w:marRight w:val="0"/>
      <w:marTop w:val="0"/>
      <w:marBottom w:val="0"/>
      <w:divBdr>
        <w:top w:val="none" w:sz="0" w:space="0" w:color="auto"/>
        <w:left w:val="none" w:sz="0" w:space="0" w:color="auto"/>
        <w:bottom w:val="none" w:sz="0" w:space="0" w:color="auto"/>
        <w:right w:val="none" w:sz="0" w:space="0" w:color="auto"/>
      </w:divBdr>
    </w:div>
    <w:div w:id="508450812">
      <w:bodyDiv w:val="1"/>
      <w:marLeft w:val="0"/>
      <w:marRight w:val="0"/>
      <w:marTop w:val="0"/>
      <w:marBottom w:val="0"/>
      <w:divBdr>
        <w:top w:val="none" w:sz="0" w:space="0" w:color="auto"/>
        <w:left w:val="none" w:sz="0" w:space="0" w:color="auto"/>
        <w:bottom w:val="none" w:sz="0" w:space="0" w:color="auto"/>
        <w:right w:val="none" w:sz="0" w:space="0" w:color="auto"/>
      </w:divBdr>
    </w:div>
    <w:div w:id="540090858">
      <w:bodyDiv w:val="1"/>
      <w:marLeft w:val="0"/>
      <w:marRight w:val="0"/>
      <w:marTop w:val="0"/>
      <w:marBottom w:val="0"/>
      <w:divBdr>
        <w:top w:val="none" w:sz="0" w:space="0" w:color="auto"/>
        <w:left w:val="none" w:sz="0" w:space="0" w:color="auto"/>
        <w:bottom w:val="none" w:sz="0" w:space="0" w:color="auto"/>
        <w:right w:val="none" w:sz="0" w:space="0" w:color="auto"/>
      </w:divBdr>
    </w:div>
    <w:div w:id="692730200">
      <w:bodyDiv w:val="1"/>
      <w:marLeft w:val="0"/>
      <w:marRight w:val="0"/>
      <w:marTop w:val="0"/>
      <w:marBottom w:val="0"/>
      <w:divBdr>
        <w:top w:val="none" w:sz="0" w:space="0" w:color="auto"/>
        <w:left w:val="none" w:sz="0" w:space="0" w:color="auto"/>
        <w:bottom w:val="none" w:sz="0" w:space="0" w:color="auto"/>
        <w:right w:val="none" w:sz="0" w:space="0" w:color="auto"/>
      </w:divBdr>
    </w:div>
    <w:div w:id="704911732">
      <w:bodyDiv w:val="1"/>
      <w:marLeft w:val="0"/>
      <w:marRight w:val="0"/>
      <w:marTop w:val="0"/>
      <w:marBottom w:val="0"/>
      <w:divBdr>
        <w:top w:val="none" w:sz="0" w:space="0" w:color="auto"/>
        <w:left w:val="none" w:sz="0" w:space="0" w:color="auto"/>
        <w:bottom w:val="none" w:sz="0" w:space="0" w:color="auto"/>
        <w:right w:val="none" w:sz="0" w:space="0" w:color="auto"/>
      </w:divBdr>
    </w:div>
    <w:div w:id="837310974">
      <w:bodyDiv w:val="1"/>
      <w:marLeft w:val="0"/>
      <w:marRight w:val="0"/>
      <w:marTop w:val="0"/>
      <w:marBottom w:val="0"/>
      <w:divBdr>
        <w:top w:val="none" w:sz="0" w:space="0" w:color="auto"/>
        <w:left w:val="none" w:sz="0" w:space="0" w:color="auto"/>
        <w:bottom w:val="none" w:sz="0" w:space="0" w:color="auto"/>
        <w:right w:val="none" w:sz="0" w:space="0" w:color="auto"/>
      </w:divBdr>
    </w:div>
    <w:div w:id="850341455">
      <w:bodyDiv w:val="1"/>
      <w:marLeft w:val="0"/>
      <w:marRight w:val="0"/>
      <w:marTop w:val="0"/>
      <w:marBottom w:val="0"/>
      <w:divBdr>
        <w:top w:val="none" w:sz="0" w:space="0" w:color="auto"/>
        <w:left w:val="none" w:sz="0" w:space="0" w:color="auto"/>
        <w:bottom w:val="none" w:sz="0" w:space="0" w:color="auto"/>
        <w:right w:val="none" w:sz="0" w:space="0" w:color="auto"/>
      </w:divBdr>
    </w:div>
    <w:div w:id="1033269131">
      <w:bodyDiv w:val="1"/>
      <w:marLeft w:val="0"/>
      <w:marRight w:val="0"/>
      <w:marTop w:val="0"/>
      <w:marBottom w:val="0"/>
      <w:divBdr>
        <w:top w:val="none" w:sz="0" w:space="0" w:color="auto"/>
        <w:left w:val="none" w:sz="0" w:space="0" w:color="auto"/>
        <w:bottom w:val="none" w:sz="0" w:space="0" w:color="auto"/>
        <w:right w:val="none" w:sz="0" w:space="0" w:color="auto"/>
      </w:divBdr>
    </w:div>
    <w:div w:id="1126437100">
      <w:bodyDiv w:val="1"/>
      <w:marLeft w:val="0"/>
      <w:marRight w:val="0"/>
      <w:marTop w:val="0"/>
      <w:marBottom w:val="0"/>
      <w:divBdr>
        <w:top w:val="none" w:sz="0" w:space="0" w:color="auto"/>
        <w:left w:val="none" w:sz="0" w:space="0" w:color="auto"/>
        <w:bottom w:val="none" w:sz="0" w:space="0" w:color="auto"/>
        <w:right w:val="none" w:sz="0" w:space="0" w:color="auto"/>
      </w:divBdr>
    </w:div>
    <w:div w:id="1171798805">
      <w:bodyDiv w:val="1"/>
      <w:marLeft w:val="0"/>
      <w:marRight w:val="0"/>
      <w:marTop w:val="0"/>
      <w:marBottom w:val="0"/>
      <w:divBdr>
        <w:top w:val="none" w:sz="0" w:space="0" w:color="auto"/>
        <w:left w:val="none" w:sz="0" w:space="0" w:color="auto"/>
        <w:bottom w:val="none" w:sz="0" w:space="0" w:color="auto"/>
        <w:right w:val="none" w:sz="0" w:space="0" w:color="auto"/>
      </w:divBdr>
    </w:div>
    <w:div w:id="1223634171">
      <w:bodyDiv w:val="1"/>
      <w:marLeft w:val="0"/>
      <w:marRight w:val="0"/>
      <w:marTop w:val="0"/>
      <w:marBottom w:val="0"/>
      <w:divBdr>
        <w:top w:val="none" w:sz="0" w:space="0" w:color="auto"/>
        <w:left w:val="none" w:sz="0" w:space="0" w:color="auto"/>
        <w:bottom w:val="none" w:sz="0" w:space="0" w:color="auto"/>
        <w:right w:val="none" w:sz="0" w:space="0" w:color="auto"/>
      </w:divBdr>
    </w:div>
    <w:div w:id="1298141984">
      <w:bodyDiv w:val="1"/>
      <w:marLeft w:val="0"/>
      <w:marRight w:val="0"/>
      <w:marTop w:val="0"/>
      <w:marBottom w:val="0"/>
      <w:divBdr>
        <w:top w:val="none" w:sz="0" w:space="0" w:color="auto"/>
        <w:left w:val="none" w:sz="0" w:space="0" w:color="auto"/>
        <w:bottom w:val="none" w:sz="0" w:space="0" w:color="auto"/>
        <w:right w:val="none" w:sz="0" w:space="0" w:color="auto"/>
      </w:divBdr>
    </w:div>
    <w:div w:id="1310592337">
      <w:bodyDiv w:val="1"/>
      <w:marLeft w:val="0"/>
      <w:marRight w:val="0"/>
      <w:marTop w:val="0"/>
      <w:marBottom w:val="0"/>
      <w:divBdr>
        <w:top w:val="none" w:sz="0" w:space="0" w:color="auto"/>
        <w:left w:val="none" w:sz="0" w:space="0" w:color="auto"/>
        <w:bottom w:val="none" w:sz="0" w:space="0" w:color="auto"/>
        <w:right w:val="none" w:sz="0" w:space="0" w:color="auto"/>
      </w:divBdr>
    </w:div>
    <w:div w:id="1374581081">
      <w:bodyDiv w:val="1"/>
      <w:marLeft w:val="0"/>
      <w:marRight w:val="0"/>
      <w:marTop w:val="0"/>
      <w:marBottom w:val="0"/>
      <w:divBdr>
        <w:top w:val="none" w:sz="0" w:space="0" w:color="auto"/>
        <w:left w:val="none" w:sz="0" w:space="0" w:color="auto"/>
        <w:bottom w:val="none" w:sz="0" w:space="0" w:color="auto"/>
        <w:right w:val="none" w:sz="0" w:space="0" w:color="auto"/>
      </w:divBdr>
    </w:div>
    <w:div w:id="1380207369">
      <w:bodyDiv w:val="1"/>
      <w:marLeft w:val="0"/>
      <w:marRight w:val="0"/>
      <w:marTop w:val="0"/>
      <w:marBottom w:val="0"/>
      <w:divBdr>
        <w:top w:val="none" w:sz="0" w:space="0" w:color="auto"/>
        <w:left w:val="none" w:sz="0" w:space="0" w:color="auto"/>
        <w:bottom w:val="none" w:sz="0" w:space="0" w:color="auto"/>
        <w:right w:val="none" w:sz="0" w:space="0" w:color="auto"/>
      </w:divBdr>
    </w:div>
    <w:div w:id="1486508304">
      <w:bodyDiv w:val="1"/>
      <w:marLeft w:val="0"/>
      <w:marRight w:val="0"/>
      <w:marTop w:val="0"/>
      <w:marBottom w:val="0"/>
      <w:divBdr>
        <w:top w:val="none" w:sz="0" w:space="0" w:color="auto"/>
        <w:left w:val="none" w:sz="0" w:space="0" w:color="auto"/>
        <w:bottom w:val="none" w:sz="0" w:space="0" w:color="auto"/>
        <w:right w:val="none" w:sz="0" w:space="0" w:color="auto"/>
      </w:divBdr>
    </w:div>
    <w:div w:id="1488787753">
      <w:bodyDiv w:val="1"/>
      <w:marLeft w:val="0"/>
      <w:marRight w:val="0"/>
      <w:marTop w:val="0"/>
      <w:marBottom w:val="0"/>
      <w:divBdr>
        <w:top w:val="none" w:sz="0" w:space="0" w:color="auto"/>
        <w:left w:val="none" w:sz="0" w:space="0" w:color="auto"/>
        <w:bottom w:val="none" w:sz="0" w:space="0" w:color="auto"/>
        <w:right w:val="none" w:sz="0" w:space="0" w:color="auto"/>
      </w:divBdr>
    </w:div>
    <w:div w:id="1495026014">
      <w:bodyDiv w:val="1"/>
      <w:marLeft w:val="0"/>
      <w:marRight w:val="0"/>
      <w:marTop w:val="0"/>
      <w:marBottom w:val="0"/>
      <w:divBdr>
        <w:top w:val="none" w:sz="0" w:space="0" w:color="auto"/>
        <w:left w:val="none" w:sz="0" w:space="0" w:color="auto"/>
        <w:bottom w:val="none" w:sz="0" w:space="0" w:color="auto"/>
        <w:right w:val="none" w:sz="0" w:space="0" w:color="auto"/>
      </w:divBdr>
    </w:div>
    <w:div w:id="1573004902">
      <w:bodyDiv w:val="1"/>
      <w:marLeft w:val="0"/>
      <w:marRight w:val="0"/>
      <w:marTop w:val="0"/>
      <w:marBottom w:val="0"/>
      <w:divBdr>
        <w:top w:val="none" w:sz="0" w:space="0" w:color="auto"/>
        <w:left w:val="none" w:sz="0" w:space="0" w:color="auto"/>
        <w:bottom w:val="none" w:sz="0" w:space="0" w:color="auto"/>
        <w:right w:val="none" w:sz="0" w:space="0" w:color="auto"/>
      </w:divBdr>
    </w:div>
    <w:div w:id="1701979229">
      <w:bodyDiv w:val="1"/>
      <w:marLeft w:val="0"/>
      <w:marRight w:val="0"/>
      <w:marTop w:val="0"/>
      <w:marBottom w:val="0"/>
      <w:divBdr>
        <w:top w:val="none" w:sz="0" w:space="0" w:color="auto"/>
        <w:left w:val="none" w:sz="0" w:space="0" w:color="auto"/>
        <w:bottom w:val="none" w:sz="0" w:space="0" w:color="auto"/>
        <w:right w:val="none" w:sz="0" w:space="0" w:color="auto"/>
      </w:divBdr>
    </w:div>
    <w:div w:id="1791780153">
      <w:bodyDiv w:val="1"/>
      <w:marLeft w:val="0"/>
      <w:marRight w:val="0"/>
      <w:marTop w:val="0"/>
      <w:marBottom w:val="0"/>
      <w:divBdr>
        <w:top w:val="none" w:sz="0" w:space="0" w:color="auto"/>
        <w:left w:val="none" w:sz="0" w:space="0" w:color="auto"/>
        <w:bottom w:val="none" w:sz="0" w:space="0" w:color="auto"/>
        <w:right w:val="none" w:sz="0" w:space="0" w:color="auto"/>
      </w:divBdr>
    </w:div>
    <w:div w:id="1816992447">
      <w:bodyDiv w:val="1"/>
      <w:marLeft w:val="0"/>
      <w:marRight w:val="0"/>
      <w:marTop w:val="0"/>
      <w:marBottom w:val="0"/>
      <w:divBdr>
        <w:top w:val="none" w:sz="0" w:space="0" w:color="auto"/>
        <w:left w:val="none" w:sz="0" w:space="0" w:color="auto"/>
        <w:bottom w:val="none" w:sz="0" w:space="0" w:color="auto"/>
        <w:right w:val="none" w:sz="0" w:space="0" w:color="auto"/>
      </w:divBdr>
    </w:div>
    <w:div w:id="1858884629">
      <w:bodyDiv w:val="1"/>
      <w:marLeft w:val="0"/>
      <w:marRight w:val="0"/>
      <w:marTop w:val="0"/>
      <w:marBottom w:val="0"/>
      <w:divBdr>
        <w:top w:val="none" w:sz="0" w:space="0" w:color="auto"/>
        <w:left w:val="none" w:sz="0" w:space="0" w:color="auto"/>
        <w:bottom w:val="none" w:sz="0" w:space="0" w:color="auto"/>
        <w:right w:val="none" w:sz="0" w:space="0" w:color="auto"/>
      </w:divBdr>
    </w:div>
    <w:div w:id="1876501871">
      <w:bodyDiv w:val="1"/>
      <w:marLeft w:val="0"/>
      <w:marRight w:val="0"/>
      <w:marTop w:val="0"/>
      <w:marBottom w:val="0"/>
      <w:divBdr>
        <w:top w:val="none" w:sz="0" w:space="0" w:color="auto"/>
        <w:left w:val="none" w:sz="0" w:space="0" w:color="auto"/>
        <w:bottom w:val="none" w:sz="0" w:space="0" w:color="auto"/>
        <w:right w:val="none" w:sz="0" w:space="0" w:color="auto"/>
      </w:divBdr>
    </w:div>
    <w:div w:id="1923485337">
      <w:bodyDiv w:val="1"/>
      <w:marLeft w:val="0"/>
      <w:marRight w:val="0"/>
      <w:marTop w:val="0"/>
      <w:marBottom w:val="0"/>
      <w:divBdr>
        <w:top w:val="none" w:sz="0" w:space="0" w:color="auto"/>
        <w:left w:val="none" w:sz="0" w:space="0" w:color="auto"/>
        <w:bottom w:val="none" w:sz="0" w:space="0" w:color="auto"/>
        <w:right w:val="none" w:sz="0" w:space="0" w:color="auto"/>
      </w:divBdr>
    </w:div>
    <w:div w:id="1937210145">
      <w:bodyDiv w:val="1"/>
      <w:marLeft w:val="0"/>
      <w:marRight w:val="0"/>
      <w:marTop w:val="0"/>
      <w:marBottom w:val="0"/>
      <w:divBdr>
        <w:top w:val="none" w:sz="0" w:space="0" w:color="auto"/>
        <w:left w:val="none" w:sz="0" w:space="0" w:color="auto"/>
        <w:bottom w:val="none" w:sz="0" w:space="0" w:color="auto"/>
        <w:right w:val="none" w:sz="0" w:space="0" w:color="auto"/>
      </w:divBdr>
    </w:div>
    <w:div w:id="1944221991">
      <w:bodyDiv w:val="1"/>
      <w:marLeft w:val="0"/>
      <w:marRight w:val="0"/>
      <w:marTop w:val="0"/>
      <w:marBottom w:val="0"/>
      <w:divBdr>
        <w:top w:val="none" w:sz="0" w:space="0" w:color="auto"/>
        <w:left w:val="none" w:sz="0" w:space="0" w:color="auto"/>
        <w:bottom w:val="none" w:sz="0" w:space="0" w:color="auto"/>
        <w:right w:val="none" w:sz="0" w:space="0" w:color="auto"/>
      </w:divBdr>
    </w:div>
    <w:div w:id="195690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5375DB3FC8C74A9EAB0F63BC579004" ma:contentTypeVersion="14" ma:contentTypeDescription="Create a new document." ma:contentTypeScope="" ma:versionID="2ba6b254d86ef38515b98ef80024e397">
  <xsd:schema xmlns:xsd="http://www.w3.org/2001/XMLSchema" xmlns:xs="http://www.w3.org/2001/XMLSchema" xmlns:p="http://schemas.microsoft.com/office/2006/metadata/properties" xmlns:ns2="a7e5e7fb-1beb-49ae-bb89-7d1e5191ec5a" xmlns:ns3="d0c6e2fe-c243-48d4-a773-47ef05c1bd3c" targetNamespace="http://schemas.microsoft.com/office/2006/metadata/properties" ma:root="true" ma:fieldsID="4d6cfe31ee1ccb6c47f52a042d1a4bcd" ns2:_="" ns3:_="">
    <xsd:import namespace="a7e5e7fb-1beb-49ae-bb89-7d1e5191ec5a"/>
    <xsd:import namespace="d0c6e2fe-c243-48d4-a773-47ef05c1bd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5e7fb-1beb-49ae-bb89-7d1e5191e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c6e2fe-c243-48d4-a773-47ef05c1bd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a2ff1e-6ca7-4bf9-bd7f-65a5274d6d5b}" ma:internalName="TaxCatchAll" ma:showField="CatchAllData" ma:web="d0c6e2fe-c243-48d4-a773-47ef05c1bd3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c6e2fe-c243-48d4-a773-47ef05c1bd3c" xsi:nil="true"/>
    <lcf76f155ced4ddcb4097134ff3c332f xmlns="a7e5e7fb-1beb-49ae-bb89-7d1e5191ec5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2AD25-0F37-4D48-B531-AAEBF6C040D6}">
  <ds:schemaRefs>
    <ds:schemaRef ds:uri="http://schemas.microsoft.com/sharepoint/v3/contenttype/forms"/>
  </ds:schemaRefs>
</ds:datastoreItem>
</file>

<file path=customXml/itemProps2.xml><?xml version="1.0" encoding="utf-8"?>
<ds:datastoreItem xmlns:ds="http://schemas.openxmlformats.org/officeDocument/2006/customXml" ds:itemID="{4826BF53-00BC-4486-9D9D-B2EF730EC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5e7fb-1beb-49ae-bb89-7d1e5191ec5a"/>
    <ds:schemaRef ds:uri="d0c6e2fe-c243-48d4-a773-47ef05c1b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5F6D8-07B8-462E-9A27-A0B406063297}">
  <ds:schemaRefs>
    <ds:schemaRef ds:uri="http://schemas.microsoft.com/office/2006/metadata/properties"/>
    <ds:schemaRef ds:uri="http://schemas.microsoft.com/office/infopath/2007/PartnerControls"/>
    <ds:schemaRef ds:uri="d0c6e2fe-c243-48d4-a773-47ef05c1bd3c"/>
    <ds:schemaRef ds:uri="a7e5e7fb-1beb-49ae-bb89-7d1e5191ec5a"/>
  </ds:schemaRefs>
</ds:datastoreItem>
</file>

<file path=customXml/itemProps4.xml><?xml version="1.0" encoding="utf-8"?>
<ds:datastoreItem xmlns:ds="http://schemas.openxmlformats.org/officeDocument/2006/customXml" ds:itemID="{80B0F5D0-5744-4003-A9FD-AE534408E47F}">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7</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3</cp:revision>
  <cp:lastPrinted>2025-11-06T15:31:00Z</cp:lastPrinted>
  <dcterms:created xsi:type="dcterms:W3CDTF">2025-11-06T19:38:00Z</dcterms:created>
  <dcterms:modified xsi:type="dcterms:W3CDTF">2025-11-17T17:18:00Z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0x010100EC5375DB3FC8C74A9EAB0F63BC579004</vt:lpwstr>
  </property>
  <property fmtid="{D5CDD505-2E9C-101B-9397-08002B2CF9AE}" pid="3" name="MediaServiceImageTags">
    <vt:lpwstr/>
  </property>
</Properties>
</file>