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50C95C5E" wp14:editId="57E96055">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935CD5">
        <w:rPr>
          <w:rStyle w:val="Heading3Char"/>
          <w:b/>
        </w:rPr>
        <w:t>NHS Golden Jubilee Board</w:t>
      </w:r>
    </w:p>
    <w:p w:rsidR="000D11E9"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935CD5">
        <w:rPr>
          <w:rStyle w:val="Heading3Char"/>
          <w:b/>
        </w:rPr>
        <w:t>27</w:t>
      </w:r>
      <w:r w:rsidR="0084415E">
        <w:rPr>
          <w:rStyle w:val="Heading3Char"/>
          <w:b/>
        </w:rPr>
        <w:t xml:space="preserve"> November 2025</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935CD5">
        <w:rPr>
          <w:rStyle w:val="Heading3Char"/>
          <w:b/>
        </w:rPr>
        <w:t>Health Associated Infection (HAIRT) R</w:t>
      </w:r>
      <w:r w:rsidR="00D23123">
        <w:rPr>
          <w:rStyle w:val="Heading3Char"/>
          <w:b/>
        </w:rPr>
        <w:t>eport</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23123">
        <w:rPr>
          <w:rStyle w:val="Heading3Char"/>
          <w:b/>
        </w:rPr>
        <w:t xml:space="preserve">Anne Marie Cavanagh, </w:t>
      </w:r>
      <w:r w:rsidR="00C2682F">
        <w:rPr>
          <w:rStyle w:val="Heading3Char"/>
          <w:b/>
        </w:rPr>
        <w:t xml:space="preserve">Executive </w:t>
      </w:r>
      <w:r w:rsidR="00D23123">
        <w:rPr>
          <w:rStyle w:val="Heading3Char"/>
          <w:b/>
        </w:rPr>
        <w:t>Nurse Director and HAI Executive Lead</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D23123">
        <w:rPr>
          <w:rStyle w:val="Heading3Char"/>
          <w:b/>
        </w:rPr>
        <w:t>H</w:t>
      </w:r>
      <w:r w:rsidR="00E4740D">
        <w:rPr>
          <w:rStyle w:val="Heading3Char"/>
          <w:b/>
        </w:rPr>
        <w:t xml:space="preserve">eather </w:t>
      </w:r>
      <w:r w:rsidR="00D23123">
        <w:rPr>
          <w:rStyle w:val="Heading3Char"/>
          <w:b/>
        </w:rPr>
        <w:t>G</w:t>
      </w:r>
      <w:r w:rsidR="00E4740D">
        <w:rPr>
          <w:rStyle w:val="Heading3Char"/>
          <w:b/>
        </w:rPr>
        <w:t xml:space="preserve">ourlay, Associate Director, Prevention and Control of Infection </w:t>
      </w:r>
    </w:p>
    <w:p w:rsidR="00B77902" w:rsidRPr="00B77902" w:rsidRDefault="00B77902" w:rsidP="00B77902"/>
    <w:p w:rsidR="00430C09" w:rsidRDefault="00BF3AF0" w:rsidP="00430C09">
      <w:pPr>
        <w:pStyle w:val="Heading2"/>
        <w:spacing w:line="276" w:lineRule="auto"/>
      </w:pPr>
      <w:r>
        <w:t>1</w:t>
      </w:r>
      <w:r>
        <w:tab/>
      </w:r>
      <w:r w:rsidR="00430C09" w:rsidRPr="00F05C63">
        <w:t>Purpose</w:t>
      </w:r>
    </w:p>
    <w:p w:rsidR="009807B4" w:rsidRDefault="009807B4" w:rsidP="00BF3AF0">
      <w:pPr>
        <w:autoSpaceDE w:val="0"/>
        <w:autoSpaceDN w:val="0"/>
        <w:adjustRightInd w:val="0"/>
        <w:spacing w:before="40" w:after="40" w:line="276" w:lineRule="auto"/>
        <w:ind w:left="720"/>
        <w:rPr>
          <w:rFonts w:cs="Arial"/>
          <w:color w:val="000000"/>
          <w:szCs w:val="24"/>
          <w:lang w:eastAsia="en-GB"/>
        </w:rPr>
      </w:pPr>
    </w:p>
    <w:p w:rsidR="009807B4" w:rsidRPr="007C085A" w:rsidRDefault="00430C09" w:rsidP="007C085A">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46219" w:rsidRPr="009807B4">
        <w:rPr>
          <w:lang w:eastAsia="en-GB"/>
        </w:rPr>
        <w:t xml:space="preserve"> is presented to </w:t>
      </w:r>
      <w:r w:rsidR="00935CD5">
        <w:rPr>
          <w:lang w:eastAsia="en-GB"/>
        </w:rPr>
        <w:t>NHS Golden Jubilee Board</w:t>
      </w:r>
      <w:r w:rsidR="00446219" w:rsidRPr="009807B4">
        <w:rPr>
          <w:lang w:eastAsia="en-GB"/>
        </w:rPr>
        <w:t xml:space="preserve"> for: </w:t>
      </w:r>
    </w:p>
    <w:p w:rsidR="00430C09" w:rsidRPr="00A619BD" w:rsidRDefault="007C085A" w:rsidP="00BF3AF0">
      <w:pPr>
        <w:pStyle w:val="Heading3"/>
        <w:numPr>
          <w:ilvl w:val="0"/>
          <w:numId w:val="9"/>
        </w:numPr>
        <w:spacing w:line="276" w:lineRule="auto"/>
        <w:ind w:left="1080"/>
        <w:rPr>
          <w:b w:val="0"/>
          <w:lang w:eastAsia="en-GB"/>
        </w:rPr>
      </w:pPr>
      <w:r>
        <w:rPr>
          <w:b w:val="0"/>
          <w:lang w:eastAsia="en-GB"/>
        </w:rPr>
        <w:t xml:space="preserve">Approval </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sidR="007C085A">
        <w:rPr>
          <w:lang w:eastAsia="en-GB"/>
        </w:rPr>
        <w:t>report relates to</w:t>
      </w:r>
      <w:r>
        <w:rPr>
          <w:lang w:eastAsia="en-GB"/>
        </w:rPr>
        <w:t>:</w:t>
      </w:r>
      <w:r w:rsidR="009828B9">
        <w:rPr>
          <w:lang w:eastAsia="en-GB"/>
        </w:rPr>
        <w:t xml:space="preserve"> </w:t>
      </w:r>
    </w:p>
    <w:p w:rsidR="009807B4" w:rsidRPr="00A619B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Annual Operation Plan</w:t>
      </w:r>
    </w:p>
    <w:p w:rsidR="009807B4" w:rsidRPr="00A619B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Emerging issue</w:t>
      </w:r>
      <w:r w:rsidR="00C90641" w:rsidRPr="00A619BD">
        <w:rPr>
          <w:rFonts w:ascii="Arial" w:hAnsi="Arial" w:cs="Arial"/>
          <w:color w:val="000000"/>
          <w:sz w:val="24"/>
          <w:szCs w:val="24"/>
        </w:rPr>
        <w:t>s</w:t>
      </w:r>
    </w:p>
    <w:p w:rsidR="009807B4" w:rsidRPr="00A619B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Government policy/directive</w:t>
      </w:r>
    </w:p>
    <w:p w:rsidR="009807B4" w:rsidRPr="00A619B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NHS Board/</w:t>
      </w:r>
      <w:r w:rsidR="003F7F61" w:rsidRPr="00A619BD">
        <w:rPr>
          <w:rFonts w:ascii="Arial" w:hAnsi="Arial" w:cs="Arial"/>
          <w:color w:val="000000"/>
          <w:sz w:val="24"/>
          <w:szCs w:val="24"/>
        </w:rPr>
        <w:t>Integration</w:t>
      </w:r>
      <w:r w:rsidR="00816E22" w:rsidRPr="00A619BD">
        <w:rPr>
          <w:rFonts w:ascii="Arial" w:hAnsi="Arial" w:cs="Arial"/>
          <w:color w:val="000000"/>
          <w:sz w:val="24"/>
          <w:szCs w:val="24"/>
        </w:rPr>
        <w:t xml:space="preserve"> </w:t>
      </w:r>
      <w:r w:rsidRPr="00A619BD">
        <w:rPr>
          <w:rFonts w:ascii="Arial" w:hAnsi="Arial" w:cs="Arial"/>
          <w:color w:val="000000"/>
          <w:sz w:val="24"/>
          <w:szCs w:val="24"/>
        </w:rPr>
        <w:t>Joint Board Strategy</w:t>
      </w:r>
      <w:r w:rsidR="003F7F61" w:rsidRPr="00A619BD">
        <w:rPr>
          <w:rFonts w:ascii="Arial" w:hAnsi="Arial" w:cs="Arial"/>
          <w:color w:val="000000"/>
          <w:sz w:val="24"/>
          <w:szCs w:val="24"/>
        </w:rPr>
        <w:t xml:space="preserve"> or Direction</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0D11E9" w:rsidRDefault="00430C09" w:rsidP="000D11E9">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rsidR="000D11E9" w:rsidRPr="00A619BD" w:rsidRDefault="000D11E9" w:rsidP="000D11E9">
      <w:pPr>
        <w:pStyle w:val="ListParagraph"/>
        <w:numPr>
          <w:ilvl w:val="0"/>
          <w:numId w:val="19"/>
        </w:numPr>
        <w:rPr>
          <w:rFonts w:ascii="Arial" w:hAnsi="Arial" w:cs="Arial"/>
          <w:sz w:val="24"/>
          <w:szCs w:val="24"/>
        </w:rPr>
      </w:pPr>
      <w:r w:rsidRPr="00A619BD">
        <w:rPr>
          <w:rFonts w:ascii="Arial" w:hAnsi="Arial" w:cs="Arial"/>
          <w:sz w:val="24"/>
          <w:szCs w:val="24"/>
        </w:rPr>
        <w:t>Safe</w:t>
      </w:r>
    </w:p>
    <w:p w:rsidR="009807B4" w:rsidRPr="00A619B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Effective</w:t>
      </w:r>
    </w:p>
    <w:p w:rsidR="009807B4" w:rsidRPr="00A619B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19BD">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D11E9" w:rsidRDefault="00B546C8" w:rsidP="000D11E9">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r w:rsidR="009828B9">
        <w:rPr>
          <w:rFonts w:cs="Arial"/>
          <w:b/>
          <w:color w:val="000000"/>
          <w:szCs w:val="24"/>
        </w:rPr>
        <w:t xml:space="preserve"> </w:t>
      </w:r>
    </w:p>
    <w:p w:rsidR="00B546C8" w:rsidRPr="00A619BD" w:rsidRDefault="009B1BFA" w:rsidP="000D11E9">
      <w:pPr>
        <w:pStyle w:val="ListParagraph"/>
        <w:numPr>
          <w:ilvl w:val="0"/>
          <w:numId w:val="20"/>
        </w:numPr>
        <w:autoSpaceDE w:val="0"/>
        <w:autoSpaceDN w:val="0"/>
        <w:adjustRightInd w:val="0"/>
        <w:spacing w:before="40" w:after="40" w:line="276" w:lineRule="auto"/>
        <w:rPr>
          <w:rFonts w:ascii="Arial" w:hAnsi="Arial" w:cs="Arial"/>
          <w:color w:val="000000"/>
          <w:sz w:val="24"/>
          <w:szCs w:val="24"/>
        </w:rPr>
      </w:pPr>
      <w:r w:rsidRPr="00A619BD">
        <w:rPr>
          <w:rFonts w:ascii="Arial" w:hAnsi="Arial" w:cs="Arial"/>
          <w:color w:val="000000"/>
          <w:sz w:val="24"/>
          <w:szCs w:val="24"/>
        </w:rPr>
        <w:t>Leadership, Strategy and Risk</w:t>
      </w:r>
    </w:p>
    <w:p w:rsidR="009B1BFA" w:rsidRPr="00A619BD"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19BD">
        <w:rPr>
          <w:rFonts w:ascii="Arial" w:hAnsi="Arial" w:cs="Arial"/>
          <w:color w:val="000000"/>
          <w:sz w:val="24"/>
          <w:szCs w:val="24"/>
        </w:rPr>
        <w:t>High Performing Organisation</w:t>
      </w:r>
    </w:p>
    <w:p w:rsidR="009B1BFA" w:rsidRPr="00A619BD"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19BD">
        <w:rPr>
          <w:rFonts w:ascii="Arial" w:hAnsi="Arial" w:cs="Arial"/>
          <w:color w:val="000000"/>
          <w:sz w:val="24"/>
          <w:szCs w:val="24"/>
        </w:rPr>
        <w:t>Culture, Wellbeing and Values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AF04C8" w:rsidRPr="00D57E5B" w:rsidRDefault="00AF04C8" w:rsidP="00AF04C8">
      <w:pPr>
        <w:spacing w:line="276" w:lineRule="auto"/>
        <w:ind w:left="709"/>
        <w:rPr>
          <w:rFonts w:cs="Arial"/>
          <w:szCs w:val="24"/>
        </w:rPr>
      </w:pPr>
      <w:r w:rsidRPr="00D57E5B">
        <w:rPr>
          <w:rFonts w:cs="Arial"/>
          <w:spacing w:val="0"/>
          <w:szCs w:val="24"/>
        </w:rPr>
        <w:t xml:space="preserve">The Prevention and Control of Infection Committee and PCI Team co-ordinate the delivery of an extensive body of work summarised within the HAIRT report (Appendix </w:t>
      </w:r>
      <w:r w:rsidRPr="00D57E5B">
        <w:rPr>
          <w:rFonts w:cs="Arial"/>
          <w:spacing w:val="0"/>
          <w:szCs w:val="24"/>
        </w:rPr>
        <w:lastRenderedPageBreak/>
        <w:t>1). Integral to the success of the programme is the recognition that Prevention and Control of Infection does not rest solely within the domains of the Prevention and Control of Infection Com</w:t>
      </w:r>
      <w:r w:rsidR="000D11E9">
        <w:rPr>
          <w:rFonts w:cs="Arial"/>
          <w:spacing w:val="0"/>
          <w:szCs w:val="24"/>
        </w:rPr>
        <w:t>mittee and Team.  Everyone has Prevention and Control of I</w:t>
      </w:r>
      <w:r w:rsidRPr="00D57E5B">
        <w:rPr>
          <w:rFonts w:cs="Arial"/>
          <w:spacing w:val="0"/>
          <w:szCs w:val="24"/>
        </w:rPr>
        <w:t>nfection responsibilities from Board to ward. NHS GJNH managers are supported to take a lead in ensuring national and local interventions are implemented</w:t>
      </w:r>
      <w:r w:rsidR="009F38FC">
        <w:rPr>
          <w:rFonts w:cs="Arial"/>
          <w:spacing w:val="0"/>
          <w:szCs w:val="24"/>
        </w:rPr>
        <w:t>,</w:t>
      </w:r>
      <w:r w:rsidRPr="00D57E5B">
        <w:rPr>
          <w:rFonts w:cs="Arial"/>
          <w:spacing w:val="0"/>
          <w:szCs w:val="24"/>
        </w:rPr>
        <w:t xml:space="preserve"> monitored</w:t>
      </w:r>
      <w:r w:rsidR="009F38FC">
        <w:rPr>
          <w:rFonts w:cs="Arial"/>
          <w:spacing w:val="0"/>
          <w:szCs w:val="24"/>
        </w:rPr>
        <w:t xml:space="preserve"> and assured commensurate with a </w:t>
      </w:r>
      <w:r w:rsidRPr="00D57E5B">
        <w:rPr>
          <w:rFonts w:cs="Arial"/>
          <w:spacing w:val="0"/>
          <w:szCs w:val="24"/>
        </w:rPr>
        <w:t>safe environment for patients, staff and visitors.</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AF04C8" w:rsidRPr="00D57E5B" w:rsidRDefault="00AF04C8" w:rsidP="00AF04C8">
      <w:pPr>
        <w:spacing w:line="276" w:lineRule="auto"/>
        <w:ind w:left="709" w:right="357"/>
        <w:jc w:val="both"/>
        <w:rPr>
          <w:rFonts w:cs="Arial"/>
          <w:spacing w:val="0"/>
          <w:szCs w:val="24"/>
        </w:rPr>
      </w:pPr>
      <w:r>
        <w:rPr>
          <w:rFonts w:cs="Arial"/>
          <w:szCs w:val="24"/>
        </w:rPr>
        <w:t xml:space="preserve">The September 2025 HAIRT </w:t>
      </w:r>
      <w:r w:rsidRPr="00D57E5B">
        <w:rPr>
          <w:rFonts w:cs="Arial"/>
          <w:szCs w:val="24"/>
        </w:rPr>
        <w:t>report reflects the NHS GJNH HAI update looking across the organisational performance against existing national HEAT trajectories to support identification of trends/risks and themes for learning whilst considering this in the context of our annual Infection Control work programme outputs and progress.</w:t>
      </w:r>
      <w:r w:rsidRPr="00D57E5B">
        <w:rPr>
          <w:rFonts w:cs="Arial"/>
          <w:spacing w:val="0"/>
          <w:szCs w:val="24"/>
        </w:rPr>
        <w:t xml:space="preserve"> </w:t>
      </w:r>
      <w:r w:rsidR="009F38FC">
        <w:rPr>
          <w:rFonts w:cs="Arial"/>
          <w:spacing w:val="0"/>
          <w:szCs w:val="24"/>
        </w:rPr>
        <w:t>In addition it reflects forthcoming national initiatives in conjunction with key stakeholders for implementation.</w:t>
      </w:r>
    </w:p>
    <w:p w:rsidR="00430C09" w:rsidRPr="007C085A" w:rsidRDefault="00430C09" w:rsidP="007C085A">
      <w:pPr>
        <w:spacing w:before="40" w:after="40" w:line="276" w:lineRule="auto"/>
        <w:rPr>
          <w:rFonts w:cs="Arial"/>
          <w:color w:val="000000"/>
          <w:szCs w:val="24"/>
        </w:rPr>
      </w:pPr>
    </w:p>
    <w:p w:rsidR="00F3337D" w:rsidRDefault="00C87B62" w:rsidP="00BF3AF0">
      <w:pPr>
        <w:pStyle w:val="Heading2"/>
      </w:pPr>
      <w:r>
        <w:t>2</w:t>
      </w:r>
      <w:r w:rsidR="00BF3AF0">
        <w:t>.3</w:t>
      </w:r>
      <w:r w:rsidR="00BF3AF0">
        <w:tab/>
      </w:r>
      <w:r w:rsidR="00F3337D" w:rsidRPr="007C085A">
        <w:rPr>
          <w:szCs w:val="24"/>
        </w:rPr>
        <w:t>Assessment</w:t>
      </w:r>
    </w:p>
    <w:p w:rsidR="00AF04C8" w:rsidRDefault="00AF04C8" w:rsidP="00AF04C8">
      <w:pPr>
        <w:spacing w:line="276" w:lineRule="auto"/>
        <w:ind w:left="709"/>
        <w:rPr>
          <w:rFonts w:cs="Arial"/>
          <w:szCs w:val="24"/>
        </w:rPr>
      </w:pPr>
      <w:r>
        <w:rPr>
          <w:rFonts w:cs="Arial"/>
          <w:szCs w:val="24"/>
        </w:rPr>
        <w:t>Appendix 1 HAIRT report reflects</w:t>
      </w:r>
      <w:r w:rsidRPr="00D57E5B">
        <w:rPr>
          <w:rFonts w:cs="Arial"/>
          <w:szCs w:val="24"/>
        </w:rPr>
        <w:t xml:space="preserve"> performance against national and local targets</w:t>
      </w:r>
      <w:r w:rsidR="009F38FC">
        <w:rPr>
          <w:rFonts w:cs="Arial"/>
          <w:szCs w:val="24"/>
        </w:rPr>
        <w:t>, note for this reporting period the increase in CDI cases with no patient to patient transmission or commonalities noted</w:t>
      </w:r>
      <w:r>
        <w:rPr>
          <w:rFonts w:cs="Arial"/>
          <w:szCs w:val="24"/>
        </w:rPr>
        <w:t>.</w:t>
      </w:r>
      <w:r w:rsidR="00C90641">
        <w:rPr>
          <w:rFonts w:cs="Arial"/>
          <w:szCs w:val="24"/>
        </w:rPr>
        <w:t xml:space="preserve"> Page 7 NHS As</w:t>
      </w:r>
      <w:r w:rsidR="009F38FC">
        <w:rPr>
          <w:rFonts w:cs="Arial"/>
          <w:szCs w:val="24"/>
        </w:rPr>
        <w:t>sure funnel plot demonstrates this increase, we remain within national parameters and are not identified outliers.</w:t>
      </w:r>
      <w:r w:rsidRPr="00D57E5B">
        <w:rPr>
          <w:rFonts w:cs="Arial"/>
          <w:szCs w:val="24"/>
        </w:rPr>
        <w:t xml:space="preserve"> </w:t>
      </w:r>
    </w:p>
    <w:p w:rsidR="0013769C" w:rsidRPr="00D57E5B" w:rsidRDefault="0013769C" w:rsidP="00AF04C8">
      <w:pPr>
        <w:spacing w:line="276" w:lineRule="auto"/>
        <w:ind w:left="709"/>
        <w:rPr>
          <w:rFonts w:cs="Arial"/>
          <w:szCs w:val="24"/>
        </w:rPr>
      </w:pPr>
      <w:r>
        <w:rPr>
          <w:rFonts w:cs="Arial"/>
          <w:szCs w:val="24"/>
        </w:rPr>
        <w:t>DL (2025) 20 has advised Boards of agreement of a national unified P</w:t>
      </w:r>
      <w:r w:rsidR="004428DE">
        <w:rPr>
          <w:rFonts w:cs="Arial"/>
          <w:szCs w:val="24"/>
        </w:rPr>
        <w:t xml:space="preserve">ersonal </w:t>
      </w:r>
      <w:r>
        <w:rPr>
          <w:rFonts w:cs="Arial"/>
          <w:szCs w:val="24"/>
        </w:rPr>
        <w:t>P</w:t>
      </w:r>
      <w:r w:rsidR="004428DE">
        <w:rPr>
          <w:rFonts w:cs="Arial"/>
          <w:szCs w:val="24"/>
        </w:rPr>
        <w:t xml:space="preserve">rotection </w:t>
      </w:r>
      <w:r>
        <w:rPr>
          <w:rFonts w:cs="Arial"/>
          <w:szCs w:val="24"/>
        </w:rPr>
        <w:t>E</w:t>
      </w:r>
      <w:r w:rsidR="004428DE">
        <w:rPr>
          <w:rFonts w:cs="Arial"/>
          <w:szCs w:val="24"/>
        </w:rPr>
        <w:t>quipment (PPE)</w:t>
      </w:r>
      <w:r>
        <w:rPr>
          <w:rFonts w:cs="Arial"/>
          <w:szCs w:val="24"/>
        </w:rPr>
        <w:t xml:space="preserve"> ensemble adopted by all 4 nations, with a transition and implementation date set for 26 August 2026. Scoping and co-ordination for this will go via NHSGJ Resilience Group and has commenced.</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AF04C8" w:rsidRDefault="00AF04C8" w:rsidP="00AF04C8">
      <w:pPr>
        <w:spacing w:before="40" w:after="40" w:line="276" w:lineRule="auto"/>
        <w:ind w:left="709"/>
        <w:rPr>
          <w:rFonts w:cs="Arial"/>
          <w:color w:val="000000"/>
          <w:szCs w:val="24"/>
        </w:rPr>
      </w:pPr>
      <w:r w:rsidRPr="00D57E5B">
        <w:rPr>
          <w:rFonts w:cs="Arial"/>
          <w:color w:val="000000"/>
          <w:szCs w:val="24"/>
        </w:rPr>
        <w:t xml:space="preserve">Robust environmental audits of the clinical areas by the PCI team supplemented by peer reviews offers assurance of compliance with standards, environmental cleanliness and ultimately patient safety. </w:t>
      </w:r>
    </w:p>
    <w:p w:rsidR="00FD5B42" w:rsidRDefault="00FD5B42" w:rsidP="00AF04C8">
      <w:pPr>
        <w:spacing w:before="40" w:after="40" w:line="276" w:lineRule="auto"/>
        <w:ind w:left="709"/>
        <w:rPr>
          <w:rFonts w:cs="Arial"/>
          <w:color w:val="000000"/>
          <w:szCs w:val="24"/>
        </w:rPr>
      </w:pPr>
      <w:r>
        <w:rPr>
          <w:rFonts w:cs="Arial"/>
          <w:color w:val="000000"/>
          <w:szCs w:val="24"/>
        </w:rPr>
        <w:t xml:space="preserve">2 September 2025 Safe Delivery of Care Acute Inspection – Unannounced follow up visit very positive, </w:t>
      </w:r>
      <w:r w:rsidR="00475BBB">
        <w:rPr>
          <w:rFonts w:cs="Arial"/>
          <w:color w:val="000000"/>
          <w:szCs w:val="24"/>
        </w:rPr>
        <w:t>no subsequent environmental/infection control actions raised. The report and action plan will be published on the HIS website Wednesday 5 November 2025 (currently embargoed.)</w:t>
      </w:r>
    </w:p>
    <w:p w:rsidR="00F3337D" w:rsidRPr="00F3337D" w:rsidRDefault="007C085A" w:rsidP="007C085A">
      <w:pPr>
        <w:rPr>
          <w:rFonts w:cs="Arial"/>
          <w:color w:val="000000"/>
          <w:szCs w:val="24"/>
        </w:rPr>
      </w:pPr>
      <w:r>
        <w:rPr>
          <w:rFonts w:cs="Arial"/>
          <w:color w:val="000000"/>
          <w:szCs w:val="24"/>
        </w:rPr>
        <w:t xml:space="preserve">         </w:t>
      </w:r>
    </w:p>
    <w:p w:rsidR="00AA77F7" w:rsidRDefault="00C87B62" w:rsidP="00AA77F7">
      <w:pPr>
        <w:pStyle w:val="Heading3"/>
        <w:spacing w:line="276" w:lineRule="auto"/>
      </w:pPr>
      <w:r>
        <w:t>2</w:t>
      </w:r>
      <w:r w:rsidR="00BF3AF0">
        <w:t>.3.2</w:t>
      </w:r>
      <w:r w:rsidR="00BF3AF0">
        <w:tab/>
      </w:r>
      <w:r w:rsidR="00AA77F7">
        <w:t>Workforce</w:t>
      </w:r>
    </w:p>
    <w:p w:rsidR="00AF04C8" w:rsidRDefault="00AF04C8" w:rsidP="00AF04C8">
      <w:pPr>
        <w:spacing w:before="40" w:after="40" w:line="276" w:lineRule="auto"/>
        <w:ind w:left="709"/>
        <w:rPr>
          <w:rFonts w:cs="Arial"/>
          <w:color w:val="000000"/>
          <w:szCs w:val="24"/>
        </w:rPr>
      </w:pPr>
      <w:r w:rsidRPr="00D57E5B">
        <w:rPr>
          <w:rFonts w:cs="Arial"/>
          <w:color w:val="000000"/>
          <w:szCs w:val="24"/>
        </w:rPr>
        <w:t>The PCI team are all qualified and skilled Infection Control Practitioners supported by ICD, Consultant Microbiologist and ID Consultant reciprocal role in conjunction with NHSGGC.</w:t>
      </w:r>
    </w:p>
    <w:p w:rsidR="00C90641" w:rsidRPr="00D57E5B" w:rsidRDefault="00C90641" w:rsidP="00AF04C8">
      <w:pPr>
        <w:spacing w:before="40" w:after="40" w:line="276" w:lineRule="auto"/>
        <w:ind w:left="709"/>
        <w:rPr>
          <w:rFonts w:cs="Arial"/>
          <w:color w:val="000000"/>
          <w:szCs w:val="24"/>
        </w:rPr>
      </w:pPr>
      <w:r>
        <w:rPr>
          <w:rFonts w:cs="Arial"/>
          <w:color w:val="000000"/>
          <w:szCs w:val="24"/>
        </w:rPr>
        <w:t>Welcomed new Infection Control Doctor to the team 01.09.25. Currently one Senior PCIN vacancy, back out to advert January 2026. Associate Director, Prevention &amp; Control of Infection meeting with R</w:t>
      </w:r>
      <w:r w:rsidR="00D063DD">
        <w:rPr>
          <w:rFonts w:cs="Arial"/>
          <w:color w:val="000000"/>
          <w:szCs w:val="24"/>
        </w:rPr>
        <w:t xml:space="preserve">etinue (date tbc) </w:t>
      </w:r>
      <w:r>
        <w:rPr>
          <w:rFonts w:cs="Arial"/>
          <w:color w:val="000000"/>
          <w:szCs w:val="24"/>
        </w:rPr>
        <w:t>to</w:t>
      </w:r>
      <w:r w:rsidR="00D063DD">
        <w:rPr>
          <w:rFonts w:cs="Arial"/>
          <w:color w:val="000000"/>
          <w:szCs w:val="24"/>
        </w:rPr>
        <w:t xml:space="preserve"> discuss workforce solution to bridge current vacancy gap.</w:t>
      </w:r>
      <w:r>
        <w:rPr>
          <w:rFonts w:cs="Arial"/>
          <w:color w:val="000000"/>
          <w:szCs w:val="24"/>
        </w:rPr>
        <w:t xml:space="preserve">  </w:t>
      </w:r>
    </w:p>
    <w:p w:rsidR="00AF04C8" w:rsidRDefault="00AF04C8" w:rsidP="00BF3AF0">
      <w:pPr>
        <w:spacing w:before="40" w:after="40" w:line="276" w:lineRule="auto"/>
        <w:ind w:left="720"/>
        <w:rPr>
          <w:rFonts w:cs="Arial"/>
          <w:color w:val="000000"/>
          <w:szCs w:val="24"/>
        </w:rPr>
      </w:pPr>
    </w:p>
    <w:p w:rsidR="00F3337D" w:rsidRPr="00AA77F7" w:rsidRDefault="00F3337D" w:rsidP="00AA77F7">
      <w:pPr>
        <w:rPr>
          <w:rFonts w:cs="Arial"/>
          <w:color w:val="000000"/>
          <w:szCs w:val="24"/>
        </w:rPr>
      </w:pPr>
    </w:p>
    <w:p w:rsidR="00F3337D" w:rsidRDefault="00C87B62" w:rsidP="00F3337D">
      <w:pPr>
        <w:pStyle w:val="Heading3"/>
        <w:spacing w:line="276" w:lineRule="auto"/>
      </w:pPr>
      <w:r>
        <w:lastRenderedPageBreak/>
        <w:t>2</w:t>
      </w:r>
      <w:r w:rsidR="00BF3AF0">
        <w:t>.3.3</w:t>
      </w:r>
      <w:r w:rsidR="00BF3AF0">
        <w:tab/>
      </w:r>
      <w:r w:rsidR="00F3337D">
        <w:t>Financial</w:t>
      </w:r>
    </w:p>
    <w:p w:rsidR="00AF04C8" w:rsidRPr="00611AA4" w:rsidRDefault="00AF04C8" w:rsidP="007C085A">
      <w:pPr>
        <w:spacing w:before="40" w:after="40" w:line="276" w:lineRule="auto"/>
        <w:ind w:left="709"/>
        <w:rPr>
          <w:rFonts w:cs="Arial"/>
          <w:color w:val="000000"/>
          <w:szCs w:val="24"/>
        </w:rPr>
      </w:pPr>
      <w:r w:rsidRPr="00D57E5B">
        <w:rPr>
          <w:rFonts w:cs="Arial"/>
          <w:color w:val="000000"/>
          <w:szCs w:val="24"/>
        </w:rPr>
        <w:t xml:space="preserve">There is always a potential for financial impact to the organisation in relation to outbreaks and additional environmental cleaning and litigation. The initiation of peroxide fogging for recent VRE transmission within ICU2 as a considered enhanced control </w:t>
      </w:r>
      <w:r w:rsidR="00D063DD">
        <w:rPr>
          <w:rFonts w:cs="Arial"/>
          <w:color w:val="000000"/>
          <w:szCs w:val="24"/>
        </w:rPr>
        <w:t>was supported by the unit. A recent change of cleaning product has resulted in an ‘Achieving the Balance’ saving.</w:t>
      </w:r>
      <w:r w:rsidRPr="00D57E5B">
        <w:rPr>
          <w:rFonts w:cs="Arial"/>
          <w:color w:val="000000"/>
          <w:szCs w:val="24"/>
        </w:rPr>
        <w:t xml:space="preserve">  </w:t>
      </w:r>
    </w:p>
    <w:p w:rsidR="00F3337D" w:rsidRDefault="00F3337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AF04C8" w:rsidRPr="00D57E5B" w:rsidRDefault="00AF04C8" w:rsidP="00AF04C8">
      <w:pPr>
        <w:spacing w:before="40" w:after="40" w:line="276" w:lineRule="auto"/>
        <w:ind w:left="709"/>
        <w:jc w:val="both"/>
        <w:rPr>
          <w:rFonts w:cs="Arial"/>
          <w:color w:val="000000"/>
          <w:szCs w:val="24"/>
        </w:rPr>
      </w:pPr>
      <w:r w:rsidRPr="00D57E5B">
        <w:rPr>
          <w:rFonts w:cs="Arial"/>
          <w:color w:val="000000"/>
          <w:szCs w:val="24"/>
        </w:rPr>
        <w:t xml:space="preserve">There are several processes of risk assessment for HCAI related incidents ranging from </w:t>
      </w:r>
    </w:p>
    <w:p w:rsidR="00AF04C8" w:rsidRPr="00D57E5B" w:rsidRDefault="00AF04C8" w:rsidP="00AF04C8">
      <w:pPr>
        <w:spacing w:before="40" w:after="40" w:line="276" w:lineRule="auto"/>
        <w:ind w:left="709"/>
        <w:rPr>
          <w:rFonts w:cs="Arial"/>
          <w:color w:val="000000"/>
          <w:szCs w:val="24"/>
        </w:rPr>
      </w:pPr>
      <w:r w:rsidRPr="00D57E5B">
        <w:rPr>
          <w:rFonts w:cs="Arial"/>
          <w:color w:val="000000"/>
          <w:szCs w:val="24"/>
        </w:rPr>
        <w:t xml:space="preserve">PAG (Problem Assessment Group) utilising the National Infection Control Manual Mandatory </w:t>
      </w:r>
      <w:r w:rsidR="00A619BD" w:rsidRPr="00D57E5B">
        <w:rPr>
          <w:rFonts w:cs="Arial"/>
          <w:color w:val="000000"/>
          <w:szCs w:val="24"/>
        </w:rPr>
        <w:t>HIIAT (Healthcare</w:t>
      </w:r>
      <w:r w:rsidRPr="00D57E5B">
        <w:rPr>
          <w:rFonts w:cs="Arial"/>
          <w:color w:val="000000"/>
          <w:szCs w:val="24"/>
        </w:rPr>
        <w:t xml:space="preserve"> Incident Assessment </w:t>
      </w:r>
      <w:r w:rsidR="00A619BD" w:rsidRPr="00D57E5B">
        <w:rPr>
          <w:rFonts w:cs="Arial"/>
          <w:color w:val="000000"/>
          <w:szCs w:val="24"/>
        </w:rPr>
        <w:t>tool)</w:t>
      </w:r>
      <w:r w:rsidRPr="00D57E5B">
        <w:rPr>
          <w:rFonts w:cs="Arial"/>
          <w:color w:val="000000"/>
          <w:szCs w:val="24"/>
        </w:rPr>
        <w:t xml:space="preserve"> which assesses the initial impact of an incident /</w:t>
      </w:r>
      <w:r w:rsidR="00A619BD" w:rsidRPr="00D57E5B">
        <w:rPr>
          <w:rFonts w:cs="Arial"/>
          <w:color w:val="000000"/>
          <w:szCs w:val="24"/>
        </w:rPr>
        <w:t xml:space="preserve">outbreak. </w:t>
      </w:r>
      <w:r w:rsidRPr="00D57E5B">
        <w:rPr>
          <w:rFonts w:cs="Arial"/>
          <w:color w:val="000000"/>
          <w:szCs w:val="24"/>
        </w:rPr>
        <w:t>The Incident Management and Escalation to ARHAI and SG policy unit via the HIIOR</w:t>
      </w:r>
      <w:r w:rsidR="00475BBB">
        <w:rPr>
          <w:rFonts w:cs="Arial"/>
          <w:color w:val="000000"/>
          <w:szCs w:val="24"/>
        </w:rPr>
        <w:t>T (Incident and O</w:t>
      </w:r>
      <w:r w:rsidRPr="00D57E5B">
        <w:rPr>
          <w:rFonts w:cs="Arial"/>
          <w:color w:val="000000"/>
          <w:szCs w:val="24"/>
        </w:rPr>
        <w:t xml:space="preserve">utbreak Reporting template). Debriefs from each PAG are subsequently reported to </w:t>
      </w:r>
      <w:r w:rsidRPr="00D57E5B">
        <w:rPr>
          <w:rFonts w:cs="Arial"/>
          <w:szCs w:val="24"/>
        </w:rPr>
        <w:t>clinical specialties</w:t>
      </w:r>
      <w:r w:rsidRPr="00D57E5B">
        <w:rPr>
          <w:rFonts w:cs="Arial"/>
          <w:color w:val="000000"/>
          <w:szCs w:val="24"/>
        </w:rPr>
        <w:t xml:space="preserve"> Clinical Governance meetings and the CGRMG.</w:t>
      </w:r>
    </w:p>
    <w:p w:rsidR="00DB15F0" w:rsidRPr="00D57E5B" w:rsidRDefault="00DB15F0" w:rsidP="00DB15F0">
      <w:pPr>
        <w:spacing w:before="40" w:after="40" w:line="276" w:lineRule="auto"/>
        <w:ind w:left="709"/>
        <w:jc w:val="both"/>
        <w:rPr>
          <w:rFonts w:cs="Arial"/>
          <w:color w:val="000000"/>
          <w:szCs w:val="24"/>
        </w:rPr>
      </w:pPr>
      <w:r w:rsidRPr="00D57E5B">
        <w:rPr>
          <w:rFonts w:cs="Arial"/>
          <w:color w:val="000000"/>
          <w:szCs w:val="24"/>
        </w:rPr>
        <w:t xml:space="preserve">The HCAI SCRIBE risk assessment captures environmental new build/refurbishment </w:t>
      </w:r>
    </w:p>
    <w:p w:rsidR="00DB15F0" w:rsidRPr="00D57E5B" w:rsidRDefault="00DB15F0" w:rsidP="00DB15F0">
      <w:pPr>
        <w:spacing w:before="40" w:after="40" w:line="276" w:lineRule="auto"/>
        <w:ind w:left="709"/>
        <w:jc w:val="both"/>
        <w:rPr>
          <w:rFonts w:cs="Arial"/>
          <w:color w:val="000000"/>
          <w:szCs w:val="24"/>
        </w:rPr>
      </w:pPr>
      <w:proofErr w:type="gramStart"/>
      <w:r w:rsidRPr="00D57E5B">
        <w:rPr>
          <w:rFonts w:cs="Arial"/>
          <w:color w:val="000000"/>
          <w:szCs w:val="24"/>
        </w:rPr>
        <w:t>and</w:t>
      </w:r>
      <w:proofErr w:type="gramEnd"/>
      <w:r w:rsidRPr="00D57E5B">
        <w:rPr>
          <w:rFonts w:cs="Arial"/>
          <w:color w:val="000000"/>
          <w:szCs w:val="24"/>
        </w:rPr>
        <w:t xml:space="preserve"> all unforeseen built environment  incident responses.</w:t>
      </w:r>
    </w:p>
    <w:p w:rsidR="00DB15F0" w:rsidRPr="00D57E5B" w:rsidRDefault="00DB15F0" w:rsidP="00DB15F0">
      <w:pPr>
        <w:spacing w:before="40" w:after="40" w:line="276" w:lineRule="auto"/>
        <w:ind w:left="709"/>
        <w:jc w:val="both"/>
        <w:rPr>
          <w:rFonts w:cs="Arial"/>
          <w:color w:val="000000"/>
          <w:szCs w:val="24"/>
        </w:rPr>
      </w:pPr>
      <w:r w:rsidRPr="00D57E5B">
        <w:rPr>
          <w:rFonts w:cs="Arial"/>
          <w:color w:val="000000"/>
          <w:szCs w:val="24"/>
        </w:rPr>
        <w:t>Significant adverse event reviews and feedback are managed on a case by case basis and risk assessment is supported where required, this is further embedded within corrective action plans</w:t>
      </w:r>
      <w:r w:rsidR="00D063DD">
        <w:rPr>
          <w:rFonts w:cs="Arial"/>
          <w:color w:val="000000"/>
          <w:szCs w:val="24"/>
        </w:rPr>
        <w:t xml:space="preserve"> </w:t>
      </w:r>
      <w:r w:rsidRPr="00D57E5B">
        <w:rPr>
          <w:rFonts w:cs="Arial"/>
          <w:color w:val="000000"/>
          <w:szCs w:val="24"/>
        </w:rPr>
        <w:t>where appropriate.</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DB15F0" w:rsidRPr="00D57E5B" w:rsidRDefault="00DB15F0" w:rsidP="00DB15F0">
      <w:pPr>
        <w:spacing w:before="40" w:after="40" w:line="276" w:lineRule="auto"/>
        <w:ind w:left="709"/>
        <w:rPr>
          <w:rFonts w:cs="Arial"/>
          <w:bCs/>
          <w:color w:val="000000"/>
          <w:szCs w:val="24"/>
        </w:rPr>
      </w:pPr>
      <w:r w:rsidRPr="00D57E5B">
        <w:rPr>
          <w:rFonts w:cs="Arial"/>
          <w:bCs/>
          <w:color w:val="000000"/>
          <w:szCs w:val="24"/>
        </w:rPr>
        <w:t>An impact assessment has not been completed as this paper provides a report following an analysis of data.</w:t>
      </w:r>
    </w:p>
    <w:p w:rsidR="00BF3AF0" w:rsidRPr="00BF3AF0" w:rsidRDefault="00BF3AF0" w:rsidP="007C085A">
      <w:pPr>
        <w:spacing w:before="40" w:after="40" w:line="276" w:lineRule="auto"/>
        <w:rPr>
          <w:rFonts w:cs="Arial"/>
          <w:color w:val="000000"/>
          <w:szCs w:val="24"/>
          <w:highlight w:val="lightGray"/>
        </w:rPr>
      </w:pPr>
    </w:p>
    <w:p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rsidR="00DB15F0" w:rsidRPr="00D57E5B" w:rsidRDefault="00DB15F0" w:rsidP="00DB15F0">
      <w:pPr>
        <w:spacing w:line="276" w:lineRule="auto"/>
        <w:ind w:left="709"/>
        <w:rPr>
          <w:rFonts w:cs="Arial"/>
          <w:color w:val="000000"/>
          <w:szCs w:val="24"/>
        </w:rPr>
      </w:pPr>
      <w:r w:rsidRPr="00D57E5B">
        <w:rPr>
          <w:rFonts w:cs="Arial"/>
          <w:color w:val="000000"/>
          <w:szCs w:val="24"/>
        </w:rPr>
        <w:t xml:space="preserve">The IPCT </w:t>
      </w:r>
      <w:r w:rsidR="00D063DD">
        <w:rPr>
          <w:rFonts w:cs="Arial"/>
          <w:color w:val="000000"/>
          <w:szCs w:val="24"/>
        </w:rPr>
        <w:t>continue to support</w:t>
      </w:r>
      <w:r w:rsidRPr="00D57E5B">
        <w:rPr>
          <w:rFonts w:cs="Arial"/>
          <w:color w:val="000000"/>
          <w:szCs w:val="24"/>
        </w:rPr>
        <w:t xml:space="preserve"> Green </w:t>
      </w:r>
      <w:r w:rsidR="0013769C">
        <w:rPr>
          <w:rFonts w:cs="Arial"/>
          <w:color w:val="000000"/>
          <w:szCs w:val="24"/>
        </w:rPr>
        <w:t>Hospitals</w:t>
      </w:r>
      <w:r w:rsidRPr="00D57E5B">
        <w:rPr>
          <w:rFonts w:cs="Arial"/>
          <w:color w:val="000000"/>
          <w:szCs w:val="24"/>
        </w:rPr>
        <w:t xml:space="preserve"> Initiatives both nationally and locally and influence where possible conflict with existing National Policy and guidelines</w:t>
      </w:r>
      <w:r w:rsidR="00D063DD">
        <w:rPr>
          <w:rFonts w:cs="Arial"/>
          <w:color w:val="000000"/>
          <w:szCs w:val="24"/>
        </w:rPr>
        <w:t>, and are represented on NHSGJ Energy and Waste Conservation sub group</w:t>
      </w:r>
      <w:r w:rsidRPr="00D57E5B">
        <w:rPr>
          <w:rFonts w:cs="Arial"/>
          <w:color w:val="000000"/>
          <w:szCs w:val="24"/>
        </w:rPr>
        <w:t xml:space="preserve">. </w:t>
      </w:r>
    </w:p>
    <w:p w:rsidR="00AA77F7" w:rsidRPr="007C085A" w:rsidRDefault="00AA77F7" w:rsidP="007C085A">
      <w:pPr>
        <w:rPr>
          <w:rFonts w:cs="Arial"/>
          <w:color w:val="000000"/>
          <w:szCs w:val="24"/>
        </w:rPr>
      </w:pPr>
    </w:p>
    <w:p w:rsidR="00F3337D" w:rsidRPr="007C085A" w:rsidRDefault="00446219" w:rsidP="00F3337D">
      <w:pPr>
        <w:pStyle w:val="Heading3"/>
        <w:numPr>
          <w:ilvl w:val="2"/>
          <w:numId w:val="16"/>
        </w:numPr>
        <w:rPr>
          <w:rFonts w:eastAsia="Times New Roman"/>
        </w:rPr>
      </w:pPr>
      <w:r>
        <w:rPr>
          <w:rFonts w:eastAsia="Times New Roman"/>
        </w:rPr>
        <w:t>Communication, involvement, engagement and consultation</w:t>
      </w:r>
    </w:p>
    <w:p w:rsidR="00DB15F0" w:rsidRPr="00D57E5B" w:rsidRDefault="00DB15F0" w:rsidP="00DB15F0">
      <w:pPr>
        <w:spacing w:line="276" w:lineRule="auto"/>
        <w:ind w:left="709" w:right="357"/>
        <w:rPr>
          <w:rFonts w:cs="Arial"/>
          <w:spacing w:val="0"/>
          <w:szCs w:val="24"/>
        </w:rPr>
      </w:pPr>
      <w:r w:rsidRPr="00D57E5B">
        <w:rPr>
          <w:rFonts w:cs="Arial"/>
          <w:color w:val="000000"/>
          <w:szCs w:val="24"/>
        </w:rPr>
        <w:t>The Board has carried out its duties to involve and engage external stakeholders where appropriate.</w:t>
      </w:r>
      <w:r w:rsidRPr="00D57E5B">
        <w:rPr>
          <w:rFonts w:cs="Arial"/>
          <w:spacing w:val="0"/>
          <w:szCs w:val="24"/>
        </w:rPr>
        <w:t xml:space="preserve"> </w:t>
      </w:r>
      <w:r>
        <w:rPr>
          <w:rFonts w:cs="Arial"/>
          <w:spacing w:val="0"/>
          <w:szCs w:val="24"/>
        </w:rPr>
        <w:t>The HAIRT report</w:t>
      </w:r>
      <w:r w:rsidRPr="00D57E5B">
        <w:rPr>
          <w:rFonts w:cs="Arial"/>
          <w:spacing w:val="0"/>
          <w:szCs w:val="24"/>
        </w:rPr>
        <w:t xml:space="preserve"> is provided quarterly to the Prevention and Cont</w:t>
      </w:r>
      <w:r w:rsidR="00D063DD">
        <w:rPr>
          <w:rFonts w:cs="Arial"/>
          <w:spacing w:val="0"/>
          <w:szCs w:val="24"/>
        </w:rPr>
        <w:t xml:space="preserve">rol of Infection Committee </w:t>
      </w:r>
      <w:r w:rsidR="00A619BD">
        <w:rPr>
          <w:rFonts w:cs="Arial"/>
          <w:spacing w:val="0"/>
          <w:szCs w:val="24"/>
        </w:rPr>
        <w:t xml:space="preserve">and </w:t>
      </w:r>
      <w:r w:rsidR="00A619BD" w:rsidRPr="00D57E5B">
        <w:rPr>
          <w:rFonts w:cs="Arial"/>
          <w:spacing w:val="0"/>
          <w:szCs w:val="24"/>
        </w:rPr>
        <w:t>Clinical</w:t>
      </w:r>
      <w:r w:rsidRPr="00D57E5B">
        <w:rPr>
          <w:rFonts w:cs="Arial"/>
          <w:spacing w:val="0"/>
          <w:szCs w:val="24"/>
        </w:rPr>
        <w:t xml:space="preserve"> Governance Committee/Risk Management Groups, and monthly to the NHS Board.</w:t>
      </w:r>
    </w:p>
    <w:p w:rsidR="00AF0530" w:rsidRDefault="00AF0530" w:rsidP="00F3337D">
      <w:pPr>
        <w:pStyle w:val="ListParagraph"/>
        <w:rPr>
          <w:rFonts w:ascii="Arial" w:hAnsi="Arial" w:cs="Arial"/>
          <w:color w:val="000000"/>
          <w:sz w:val="24"/>
          <w:szCs w:val="24"/>
        </w:rPr>
      </w:pPr>
    </w:p>
    <w:p w:rsidR="00BE656E" w:rsidRPr="00A619BD" w:rsidRDefault="00DB15F0" w:rsidP="00A619BD">
      <w:pPr>
        <w:pStyle w:val="ListParagraph"/>
        <w:numPr>
          <w:ilvl w:val="0"/>
          <w:numId w:val="4"/>
        </w:numPr>
        <w:spacing w:before="40" w:after="40" w:line="276" w:lineRule="auto"/>
        <w:rPr>
          <w:rFonts w:ascii="Arial" w:hAnsi="Arial" w:cs="Arial"/>
          <w:sz w:val="24"/>
          <w:szCs w:val="24"/>
        </w:rPr>
      </w:pPr>
      <w:r w:rsidRPr="00A619BD">
        <w:rPr>
          <w:rFonts w:ascii="Arial" w:hAnsi="Arial" w:cs="Arial"/>
          <w:sz w:val="24"/>
          <w:szCs w:val="24"/>
        </w:rPr>
        <w:t xml:space="preserve">CGRMG </w:t>
      </w:r>
      <w:r w:rsidR="00BE656E" w:rsidRPr="00A619BD">
        <w:rPr>
          <w:rFonts w:ascii="Arial" w:hAnsi="Arial" w:cs="Arial"/>
          <w:sz w:val="24"/>
          <w:szCs w:val="24"/>
        </w:rPr>
        <w:t>20 May 2025, 24 June 2025, 22 July 2025, 25 August 2025 &amp; 24 September 2025</w:t>
      </w:r>
    </w:p>
    <w:p w:rsidR="00DB15F0" w:rsidRDefault="00DB15F0" w:rsidP="00446219">
      <w:pPr>
        <w:pStyle w:val="ListParagraph"/>
        <w:numPr>
          <w:ilvl w:val="0"/>
          <w:numId w:val="4"/>
        </w:numPr>
        <w:spacing w:before="40" w:after="40" w:line="276" w:lineRule="auto"/>
        <w:rPr>
          <w:rFonts w:ascii="Arial" w:hAnsi="Arial" w:cs="Arial"/>
          <w:sz w:val="24"/>
          <w:szCs w:val="24"/>
        </w:rPr>
      </w:pPr>
      <w:r w:rsidRPr="00A619BD">
        <w:rPr>
          <w:rFonts w:ascii="Arial" w:hAnsi="Arial" w:cs="Arial"/>
          <w:sz w:val="24"/>
          <w:szCs w:val="24"/>
        </w:rPr>
        <w:t xml:space="preserve">PCIC </w:t>
      </w:r>
      <w:r w:rsidR="00BE656E" w:rsidRPr="00A619BD">
        <w:rPr>
          <w:rFonts w:ascii="Arial" w:hAnsi="Arial" w:cs="Arial"/>
          <w:sz w:val="24"/>
          <w:szCs w:val="24"/>
        </w:rPr>
        <w:t>27 May 2025 &amp; 26 August 2025</w:t>
      </w:r>
      <w:r w:rsidR="00D063DD" w:rsidRPr="00A619BD">
        <w:rPr>
          <w:rFonts w:ascii="Arial" w:hAnsi="Arial" w:cs="Arial"/>
          <w:sz w:val="24"/>
          <w:szCs w:val="24"/>
        </w:rPr>
        <w:t xml:space="preserve"> (next PCIC </w:t>
      </w:r>
      <w:r w:rsidR="0013769C" w:rsidRPr="00A619BD">
        <w:rPr>
          <w:rFonts w:ascii="Arial" w:hAnsi="Arial" w:cs="Arial"/>
          <w:sz w:val="24"/>
          <w:szCs w:val="24"/>
        </w:rPr>
        <w:t>25</w:t>
      </w:r>
      <w:r w:rsidR="00D063DD" w:rsidRPr="00A619BD">
        <w:rPr>
          <w:rFonts w:ascii="Arial" w:hAnsi="Arial" w:cs="Arial"/>
          <w:sz w:val="24"/>
          <w:szCs w:val="24"/>
        </w:rPr>
        <w:t xml:space="preserve"> November 2025)</w:t>
      </w:r>
    </w:p>
    <w:p w:rsidR="00935CD5" w:rsidRPr="00A619BD" w:rsidRDefault="00935CD5" w:rsidP="00446219">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Governance Committee 11 November 2025</w:t>
      </w:r>
    </w:p>
    <w:p w:rsidR="00B851FC" w:rsidRPr="00A619BD" w:rsidRDefault="00B851FC" w:rsidP="00B851FC">
      <w:pPr>
        <w:pStyle w:val="ListParagraph"/>
        <w:spacing w:before="40" w:after="40" w:line="276" w:lineRule="auto"/>
        <w:ind w:left="1080"/>
        <w:rPr>
          <w:rFonts w:ascii="Arial" w:hAnsi="Arial" w:cs="Arial"/>
          <w:sz w:val="24"/>
          <w:szCs w:val="24"/>
        </w:rPr>
      </w:pPr>
    </w:p>
    <w:p w:rsidR="00446219" w:rsidRPr="00446219" w:rsidRDefault="00446219" w:rsidP="00446219">
      <w:pPr>
        <w:pStyle w:val="Heading3"/>
        <w:numPr>
          <w:ilvl w:val="2"/>
          <w:numId w:val="16"/>
        </w:numPr>
      </w:pPr>
      <w:r>
        <w:t>Route to the Meeting</w:t>
      </w:r>
    </w:p>
    <w:p w:rsidR="00BE656E" w:rsidRPr="00D57E5B" w:rsidRDefault="0013769C" w:rsidP="00BE656E">
      <w:pPr>
        <w:spacing w:before="40" w:after="40" w:line="276" w:lineRule="auto"/>
        <w:ind w:left="709"/>
        <w:rPr>
          <w:rFonts w:cs="Arial"/>
          <w:szCs w:val="24"/>
        </w:rPr>
      </w:pPr>
      <w:r>
        <w:rPr>
          <w:rFonts w:cs="Arial"/>
          <w:szCs w:val="24"/>
        </w:rPr>
        <w:t>I</w:t>
      </w:r>
      <w:r w:rsidR="00BE656E" w:rsidRPr="00D57E5B">
        <w:rPr>
          <w:rFonts w:cs="Arial"/>
          <w:szCs w:val="24"/>
        </w:rPr>
        <w:t xml:space="preserve">n addition to presentation at </w:t>
      </w:r>
      <w:r>
        <w:rPr>
          <w:rFonts w:cs="Arial"/>
          <w:szCs w:val="24"/>
        </w:rPr>
        <w:t xml:space="preserve">several divisional </w:t>
      </w:r>
      <w:r w:rsidR="00BE656E" w:rsidRPr="00D57E5B">
        <w:rPr>
          <w:rFonts w:cs="Arial"/>
          <w:szCs w:val="24"/>
        </w:rPr>
        <w:t>clinica</w:t>
      </w:r>
      <w:r>
        <w:rPr>
          <w:rFonts w:cs="Arial"/>
          <w:szCs w:val="24"/>
        </w:rPr>
        <w:t>l specialties governance groups, t</w:t>
      </w:r>
      <w:r w:rsidR="00BE656E" w:rsidRPr="00D57E5B">
        <w:rPr>
          <w:rFonts w:cs="Arial"/>
          <w:szCs w:val="24"/>
        </w:rPr>
        <w:t>he report is also presented at Public Board meetings.</w:t>
      </w:r>
    </w:p>
    <w:p w:rsidR="00430C09" w:rsidRDefault="00430C09" w:rsidP="00430C09">
      <w:pPr>
        <w:pStyle w:val="Heading2"/>
        <w:spacing w:line="276" w:lineRule="auto"/>
      </w:pPr>
    </w:p>
    <w:p w:rsidR="00BF3AF0" w:rsidRDefault="00C87B62" w:rsidP="00BF3AF0">
      <w:pPr>
        <w:pStyle w:val="Heading2"/>
      </w:pPr>
      <w:r>
        <w:t>2.</w:t>
      </w:r>
      <w:r w:rsidR="00BF3AF0">
        <w:t>4</w:t>
      </w:r>
      <w:r w:rsidR="00BF3AF0">
        <w:tab/>
        <w:t>Recommendation</w:t>
      </w:r>
    </w:p>
    <w:p w:rsidR="00BF3AF0" w:rsidRPr="00BF3AF0" w:rsidRDefault="00BF3AF0" w:rsidP="00BF3AF0"/>
    <w:p w:rsidR="00BF3AF0" w:rsidRPr="00A619BD" w:rsidRDefault="00935CD5" w:rsidP="00BF3AF0">
      <w:pPr>
        <w:numPr>
          <w:ilvl w:val="0"/>
          <w:numId w:val="1"/>
        </w:numPr>
        <w:spacing w:before="40" w:after="40" w:line="276" w:lineRule="auto"/>
        <w:ind w:hanging="252"/>
        <w:rPr>
          <w:rFonts w:cs="Arial"/>
          <w:color w:val="000000"/>
          <w:szCs w:val="24"/>
        </w:rPr>
      </w:pPr>
      <w:r>
        <w:rPr>
          <w:b/>
        </w:rPr>
        <w:t>Decision:</w:t>
      </w:r>
      <w:r>
        <w:rPr>
          <w:b/>
        </w:rPr>
        <w:tab/>
      </w:r>
      <w:r>
        <w:t>NHS Golden Jubilee Board is asked to r</w:t>
      </w:r>
      <w:r w:rsidRPr="00792FA9">
        <w:rPr>
          <w:rFonts w:cs="Arial"/>
          <w:color w:val="000000" w:themeColor="text1"/>
          <w:szCs w:val="24"/>
        </w:rPr>
        <w:t>eceive</w:t>
      </w:r>
      <w:r>
        <w:rPr>
          <w:rFonts w:cs="Arial"/>
          <w:color w:val="000000" w:themeColor="text1"/>
          <w:szCs w:val="24"/>
        </w:rPr>
        <w:t xml:space="preserve"> and approve</w:t>
      </w:r>
      <w:r>
        <w:rPr>
          <w:rFonts w:cs="Arial"/>
          <w:color w:val="000000" w:themeColor="text1"/>
          <w:szCs w:val="24"/>
        </w:rPr>
        <w:t xml:space="preserve"> the </w:t>
      </w:r>
      <w:r>
        <w:rPr>
          <w:rStyle w:val="Heading3Char"/>
          <w:b w:val="0"/>
        </w:rPr>
        <w:t xml:space="preserve">Health Associated Infection (HAIRT) </w:t>
      </w:r>
      <w:r w:rsidRPr="00935CD5">
        <w:rPr>
          <w:rStyle w:val="Heading3Char"/>
          <w:b w:val="0"/>
        </w:rPr>
        <w:t>Report</w:t>
      </w:r>
      <w:r>
        <w:rPr>
          <w:rStyle w:val="Heading3Char"/>
          <w:b w:val="0"/>
        </w:rPr>
        <w:t>.</w:t>
      </w:r>
      <w:bookmarkStart w:id="0" w:name="_GoBack"/>
      <w:bookmarkEnd w:id="0"/>
    </w:p>
    <w:p w:rsidR="00C87B62" w:rsidRDefault="00C87B62" w:rsidP="00C87B62">
      <w:pPr>
        <w:spacing w:before="40" w:after="40" w:line="276" w:lineRule="auto"/>
        <w:rPr>
          <w:rFonts w:cs="Arial"/>
          <w:szCs w:val="24"/>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C87B62">
      <w:pPr>
        <w:pStyle w:val="ListParagraph"/>
        <w:spacing w:before="40" w:after="40" w:line="276" w:lineRule="auto"/>
        <w:ind w:left="1253"/>
        <w:rPr>
          <w:rFonts w:ascii="Arial" w:hAnsi="Arial" w:cs="Arial"/>
          <w:color w:val="000000" w:themeColor="text1"/>
          <w:sz w:val="24"/>
          <w:szCs w:val="24"/>
        </w:rPr>
      </w:pPr>
    </w:p>
    <w:p w:rsidR="00C87B62" w:rsidRPr="00A619BD"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A619BD">
        <w:rPr>
          <w:rFonts w:ascii="Arial" w:hAnsi="Arial" w:cs="Arial"/>
          <w:color w:val="000000"/>
          <w:sz w:val="24"/>
          <w:szCs w:val="24"/>
        </w:rPr>
        <w:t>Appendix</w:t>
      </w:r>
      <w:r w:rsidR="00BE656E" w:rsidRPr="00A619BD">
        <w:rPr>
          <w:rFonts w:ascii="Arial" w:hAnsi="Arial" w:cs="Arial"/>
          <w:color w:val="000000"/>
          <w:sz w:val="24"/>
          <w:szCs w:val="24"/>
        </w:rPr>
        <w:t xml:space="preserve"> 1 – September HAIRT</w:t>
      </w:r>
      <w:r w:rsidR="0013769C" w:rsidRPr="00A619BD">
        <w:rPr>
          <w:rFonts w:ascii="Arial" w:hAnsi="Arial" w:cs="Arial"/>
          <w:color w:val="000000"/>
          <w:sz w:val="24"/>
          <w:szCs w:val="24"/>
        </w:rPr>
        <w:t xml:space="preserve"> </w:t>
      </w:r>
      <w:r w:rsidR="00BE656E" w:rsidRPr="00A619BD">
        <w:rPr>
          <w:rFonts w:ascii="Arial" w:hAnsi="Arial" w:cs="Arial"/>
          <w:color w:val="000000"/>
          <w:sz w:val="24"/>
          <w:szCs w:val="24"/>
        </w:rPr>
        <w:t>report</w:t>
      </w:r>
      <w:r w:rsidR="009F38FC" w:rsidRPr="00A619BD">
        <w:rPr>
          <w:rFonts w:ascii="Arial" w:hAnsi="Arial" w:cs="Arial"/>
          <w:color w:val="000000"/>
          <w:sz w:val="24"/>
          <w:szCs w:val="24"/>
        </w:rPr>
        <w:t xml:space="preserve"> </w:t>
      </w:r>
    </w:p>
    <w:p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CC" w:rsidRDefault="001C3ACC">
      <w:r>
        <w:separator/>
      </w:r>
    </w:p>
  </w:endnote>
  <w:endnote w:type="continuationSeparator" w:id="0">
    <w:p w:rsidR="001C3ACC" w:rsidRDefault="001C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935CD5">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935CD5">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CC" w:rsidRDefault="001C3ACC">
      <w:r>
        <w:separator/>
      </w:r>
    </w:p>
  </w:footnote>
  <w:footnote w:type="continuationSeparator" w:id="0">
    <w:p w:rsidR="001C3ACC" w:rsidRDefault="001C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935CD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3.2</w:t>
    </w:r>
    <w:r w:rsidR="007C085A">
      <w:rPr>
        <w:rFonts w:cs="Arial"/>
        <w:b/>
        <w:color w:val="2E74B5" w:themeColor="accent1" w:themeShade="BF"/>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05738"/>
    <w:multiLevelType w:val="hybridMultilevel"/>
    <w:tmpl w:val="76B81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3FF2177"/>
    <w:multiLevelType w:val="hybridMultilevel"/>
    <w:tmpl w:val="0E90F5B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9"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
  </w:num>
  <w:num w:numId="3">
    <w:abstractNumId w:val="12"/>
  </w:num>
  <w:num w:numId="4">
    <w:abstractNumId w:val="19"/>
  </w:num>
  <w:num w:numId="5">
    <w:abstractNumId w:val="10"/>
  </w:num>
  <w:num w:numId="6">
    <w:abstractNumId w:val="7"/>
  </w:num>
  <w:num w:numId="7">
    <w:abstractNumId w:val="13"/>
  </w:num>
  <w:num w:numId="8">
    <w:abstractNumId w:val="5"/>
  </w:num>
  <w:num w:numId="9">
    <w:abstractNumId w:val="16"/>
  </w:num>
  <w:num w:numId="10">
    <w:abstractNumId w:val="3"/>
  </w:num>
  <w:num w:numId="11">
    <w:abstractNumId w:val="17"/>
  </w:num>
  <w:num w:numId="12">
    <w:abstractNumId w:val="2"/>
  </w:num>
  <w:num w:numId="13">
    <w:abstractNumId w:val="4"/>
  </w:num>
  <w:num w:numId="14">
    <w:abstractNumId w:val="8"/>
  </w:num>
  <w:num w:numId="15">
    <w:abstractNumId w:val="11"/>
  </w:num>
  <w:num w:numId="16">
    <w:abstractNumId w:val="9"/>
  </w:num>
  <w:num w:numId="17">
    <w:abstractNumId w:val="14"/>
  </w:num>
  <w:num w:numId="18">
    <w:abstractNumId w:val="0"/>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D11E9"/>
    <w:rsid w:val="000F7706"/>
    <w:rsid w:val="00125A9E"/>
    <w:rsid w:val="0013769C"/>
    <w:rsid w:val="00140DB3"/>
    <w:rsid w:val="001C3ACC"/>
    <w:rsid w:val="0023473B"/>
    <w:rsid w:val="0033790B"/>
    <w:rsid w:val="003B2682"/>
    <w:rsid w:val="003D47EE"/>
    <w:rsid w:val="003E5654"/>
    <w:rsid w:val="003F7F61"/>
    <w:rsid w:val="00430C09"/>
    <w:rsid w:val="004428DE"/>
    <w:rsid w:val="00446219"/>
    <w:rsid w:val="00475BBB"/>
    <w:rsid w:val="00495B36"/>
    <w:rsid w:val="004A39D0"/>
    <w:rsid w:val="004C24DE"/>
    <w:rsid w:val="00554BB5"/>
    <w:rsid w:val="005859F4"/>
    <w:rsid w:val="00591C18"/>
    <w:rsid w:val="00593821"/>
    <w:rsid w:val="00610728"/>
    <w:rsid w:val="006173A9"/>
    <w:rsid w:val="006A01A8"/>
    <w:rsid w:val="006C5C9F"/>
    <w:rsid w:val="006D1343"/>
    <w:rsid w:val="007C085A"/>
    <w:rsid w:val="007F32CF"/>
    <w:rsid w:val="00816E22"/>
    <w:rsid w:val="0084415E"/>
    <w:rsid w:val="00927C6C"/>
    <w:rsid w:val="00935CD5"/>
    <w:rsid w:val="009807B4"/>
    <w:rsid w:val="009828B9"/>
    <w:rsid w:val="009B1BFA"/>
    <w:rsid w:val="009F38FC"/>
    <w:rsid w:val="00A2680C"/>
    <w:rsid w:val="00A5745E"/>
    <w:rsid w:val="00A619BD"/>
    <w:rsid w:val="00A62B58"/>
    <w:rsid w:val="00A84C97"/>
    <w:rsid w:val="00AA77F7"/>
    <w:rsid w:val="00AB67E0"/>
    <w:rsid w:val="00AE522B"/>
    <w:rsid w:val="00AE6E3D"/>
    <w:rsid w:val="00AF04C8"/>
    <w:rsid w:val="00AF0530"/>
    <w:rsid w:val="00AF356A"/>
    <w:rsid w:val="00B178D4"/>
    <w:rsid w:val="00B546C8"/>
    <w:rsid w:val="00B562FA"/>
    <w:rsid w:val="00B7445F"/>
    <w:rsid w:val="00B77902"/>
    <w:rsid w:val="00B8128D"/>
    <w:rsid w:val="00B851FC"/>
    <w:rsid w:val="00BE656E"/>
    <w:rsid w:val="00BF3AF0"/>
    <w:rsid w:val="00C2682F"/>
    <w:rsid w:val="00C751C7"/>
    <w:rsid w:val="00C87B62"/>
    <w:rsid w:val="00C90641"/>
    <w:rsid w:val="00C94BF7"/>
    <w:rsid w:val="00CA4D8B"/>
    <w:rsid w:val="00D063DD"/>
    <w:rsid w:val="00D17B29"/>
    <w:rsid w:val="00D23123"/>
    <w:rsid w:val="00DB15F0"/>
    <w:rsid w:val="00DD2D3D"/>
    <w:rsid w:val="00DD6252"/>
    <w:rsid w:val="00DF1BE0"/>
    <w:rsid w:val="00E4740D"/>
    <w:rsid w:val="00E71CD2"/>
    <w:rsid w:val="00F3337D"/>
    <w:rsid w:val="00FD5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9B87"/>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6</cp:revision>
  <cp:lastPrinted>2019-10-07T12:25:00Z</cp:lastPrinted>
  <dcterms:created xsi:type="dcterms:W3CDTF">2025-11-04T09:57:00Z</dcterms:created>
  <dcterms:modified xsi:type="dcterms:W3CDTF">2025-11-17T17:06:00Z</dcterms:modified>
</cp:coreProperties>
</file>