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A6" w:rsidRDefault="00FC18AA" w:rsidP="005C65A6">
      <w:pPr>
        <w:pStyle w:val="Heading1"/>
        <w:spacing w:line="276" w:lineRule="auto"/>
        <w:ind w:right="-286"/>
        <w:rPr>
          <w:sz w:val="52"/>
          <w:szCs w:val="32"/>
        </w:rPr>
      </w:pPr>
      <w:r>
        <w:rPr>
          <w:noProof/>
          <w:lang w:eastAsia="en-GB"/>
        </w:rPr>
        <w:drawing>
          <wp:anchor distT="0" distB="0" distL="114300" distR="114300" simplePos="0" relativeHeight="251658240" behindDoc="0" locked="0" layoutInCell="1" allowOverlap="1">
            <wp:simplePos x="0" y="0"/>
            <wp:positionH relativeFrom="column">
              <wp:posOffset>5413813</wp:posOffset>
            </wp:positionH>
            <wp:positionV relativeFrom="paragraph">
              <wp:posOffset>165</wp:posOffset>
            </wp:positionV>
            <wp:extent cx="1151890" cy="7988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189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8AA">
        <w:rPr>
          <w:rFonts w:ascii="Arial" w:hAnsi="Arial" w:cs="Arial"/>
          <w:color w:val="002060"/>
          <w:sz w:val="52"/>
        </w:rPr>
        <w:t>NHS Golden Jubilee</w:t>
      </w:r>
      <w:r w:rsidR="005C65A6" w:rsidRPr="00FC18AA">
        <w:rPr>
          <w:rFonts w:ascii="Arial" w:hAnsi="Arial" w:cs="Arial"/>
          <w:sz w:val="52"/>
        </w:rPr>
        <w:tab/>
      </w:r>
      <w:r w:rsidR="005C65A6">
        <w:tab/>
      </w:r>
      <w:r w:rsidR="005C65A6">
        <w:tab/>
      </w:r>
      <w:r w:rsidR="005C65A6">
        <w:tab/>
      </w:r>
      <w:r w:rsidR="005C65A6">
        <w:rPr>
          <w:noProof/>
          <w:lang w:eastAsia="en-GB"/>
        </w:rPr>
        <w:t xml:space="preserve"> </w:t>
      </w:r>
    </w:p>
    <w:p w:rsidR="005C65A6" w:rsidRDefault="005C65A6" w:rsidP="005C65A6">
      <w:pPr>
        <w:pStyle w:val="Heading2"/>
        <w:rPr>
          <w:rStyle w:val="Heading3Char"/>
          <w:rFonts w:ascii="Arial" w:hAnsi="Arial"/>
        </w:rPr>
      </w:pPr>
    </w:p>
    <w:p w:rsidR="005C65A6" w:rsidRPr="00432866" w:rsidRDefault="005C65A6" w:rsidP="005C65A6">
      <w:pPr>
        <w:pStyle w:val="Heading3"/>
        <w:spacing w:line="360" w:lineRule="auto"/>
        <w:ind w:left="4536" w:hanging="4536"/>
        <w:rPr>
          <w:color w:val="auto"/>
        </w:rPr>
      </w:pPr>
      <w:r w:rsidRPr="00432866">
        <w:rPr>
          <w:rStyle w:val="Heading3Char"/>
          <w:rFonts w:ascii="Arial" w:hAnsi="Arial"/>
          <w:b/>
          <w:color w:val="auto"/>
        </w:rPr>
        <w:t>Meeting:</w:t>
      </w:r>
      <w:r w:rsidRPr="00432866">
        <w:rPr>
          <w:rStyle w:val="Heading3Char"/>
          <w:rFonts w:ascii="Arial" w:hAnsi="Arial"/>
          <w:b/>
          <w:color w:val="auto"/>
        </w:rPr>
        <w:tab/>
      </w:r>
      <w:r w:rsidR="00B0706F">
        <w:rPr>
          <w:rStyle w:val="Heading3Char"/>
          <w:rFonts w:ascii="Arial" w:hAnsi="Arial"/>
          <w:b/>
          <w:color w:val="auto"/>
        </w:rPr>
        <w:t>NHS Golden Jubilee Board</w:t>
      </w:r>
    </w:p>
    <w:p w:rsidR="005C65A6" w:rsidRPr="00432866" w:rsidRDefault="00323D8A" w:rsidP="005C65A6">
      <w:pPr>
        <w:pStyle w:val="Heading3"/>
        <w:spacing w:line="360" w:lineRule="auto"/>
        <w:ind w:left="4536" w:hanging="4536"/>
        <w:rPr>
          <w:color w:val="auto"/>
        </w:rPr>
      </w:pPr>
      <w:r>
        <w:rPr>
          <w:rStyle w:val="Heading3Char"/>
          <w:rFonts w:ascii="Arial" w:hAnsi="Arial"/>
          <w:b/>
          <w:color w:val="auto"/>
        </w:rPr>
        <w:t>Meeting date:</w:t>
      </w:r>
      <w:r>
        <w:rPr>
          <w:rStyle w:val="Heading3Char"/>
          <w:rFonts w:ascii="Arial" w:hAnsi="Arial"/>
          <w:b/>
          <w:color w:val="auto"/>
        </w:rPr>
        <w:tab/>
      </w:r>
      <w:r w:rsidR="00B0706F">
        <w:rPr>
          <w:rStyle w:val="Heading3Char"/>
          <w:rFonts w:ascii="Arial" w:hAnsi="Arial"/>
          <w:b/>
          <w:color w:val="auto"/>
        </w:rPr>
        <w:t>27</w:t>
      </w:r>
      <w:r w:rsidR="00197E4C">
        <w:rPr>
          <w:rStyle w:val="Heading3Char"/>
          <w:rFonts w:ascii="Arial" w:hAnsi="Arial"/>
          <w:b/>
          <w:color w:val="auto"/>
        </w:rPr>
        <w:t xml:space="preserve"> November 2025</w:t>
      </w:r>
    </w:p>
    <w:p w:rsidR="005C65A6" w:rsidRPr="00432866" w:rsidRDefault="00045A6B" w:rsidP="005C65A6">
      <w:pPr>
        <w:pStyle w:val="Heading3"/>
        <w:spacing w:line="360" w:lineRule="auto"/>
        <w:ind w:left="4536" w:hanging="4536"/>
        <w:rPr>
          <w:color w:val="auto"/>
        </w:rPr>
      </w:pPr>
      <w:r>
        <w:rPr>
          <w:rStyle w:val="Heading3Char"/>
          <w:rFonts w:ascii="Arial" w:hAnsi="Arial"/>
          <w:b/>
          <w:color w:val="auto"/>
        </w:rPr>
        <w:t>Title:</w:t>
      </w:r>
      <w:r>
        <w:rPr>
          <w:rStyle w:val="Heading3Char"/>
          <w:rFonts w:ascii="Arial" w:hAnsi="Arial"/>
          <w:b/>
          <w:color w:val="auto"/>
        </w:rPr>
        <w:tab/>
        <w:t>Quarter 2</w:t>
      </w:r>
      <w:r w:rsidR="005C65A6" w:rsidRPr="00432866">
        <w:rPr>
          <w:rStyle w:val="Heading3Char"/>
          <w:rFonts w:ascii="Arial" w:hAnsi="Arial"/>
          <w:b/>
          <w:color w:val="auto"/>
        </w:rPr>
        <w:t xml:space="preserve"> Feedback Report with Key Performance Indicators (KPI)</w:t>
      </w:r>
    </w:p>
    <w:p w:rsidR="005C65A6" w:rsidRPr="00432866" w:rsidRDefault="005C65A6" w:rsidP="005C65A6">
      <w:pPr>
        <w:pStyle w:val="Heading3"/>
        <w:spacing w:line="360" w:lineRule="auto"/>
        <w:ind w:left="4536" w:hanging="4536"/>
        <w:rPr>
          <w:rStyle w:val="Heading3Char"/>
          <w:rFonts w:ascii="Arial" w:hAnsi="Arial"/>
          <w:b/>
          <w:color w:val="auto"/>
        </w:rPr>
      </w:pPr>
      <w:r w:rsidRPr="00432866">
        <w:rPr>
          <w:rStyle w:val="Heading3Char"/>
          <w:rFonts w:ascii="Arial" w:hAnsi="Arial"/>
          <w:b/>
          <w:color w:val="auto"/>
        </w:rPr>
        <w:t xml:space="preserve">Responsible Executive/Non-Executive: </w:t>
      </w:r>
      <w:r w:rsidRPr="00432866">
        <w:rPr>
          <w:rStyle w:val="Heading3Char"/>
          <w:rFonts w:ascii="Arial" w:hAnsi="Arial"/>
          <w:b/>
          <w:color w:val="auto"/>
        </w:rPr>
        <w:tab/>
      </w:r>
      <w:r w:rsidR="00D62A72">
        <w:rPr>
          <w:rStyle w:val="Heading3Char"/>
          <w:rFonts w:ascii="Arial" w:hAnsi="Arial"/>
          <w:b/>
          <w:color w:val="auto"/>
        </w:rPr>
        <w:t xml:space="preserve">Anne Marie Cavanagh, </w:t>
      </w:r>
      <w:r w:rsidR="00252496">
        <w:rPr>
          <w:rStyle w:val="Heading3Char"/>
          <w:rFonts w:ascii="Arial" w:hAnsi="Arial"/>
          <w:b/>
          <w:color w:val="auto"/>
        </w:rPr>
        <w:t xml:space="preserve">Executive </w:t>
      </w:r>
      <w:r w:rsidR="00D62A72">
        <w:rPr>
          <w:rStyle w:val="Heading3Char"/>
          <w:rFonts w:ascii="Arial" w:hAnsi="Arial"/>
          <w:b/>
          <w:color w:val="auto"/>
        </w:rPr>
        <w:t>Director of Nursing</w:t>
      </w:r>
    </w:p>
    <w:p w:rsidR="005C65A6" w:rsidRPr="00432866" w:rsidRDefault="005C65A6" w:rsidP="005C65A6">
      <w:pPr>
        <w:pStyle w:val="Heading3"/>
        <w:spacing w:line="360" w:lineRule="auto"/>
        <w:ind w:left="4536" w:hanging="4536"/>
        <w:rPr>
          <w:rStyle w:val="Heading3Char"/>
          <w:rFonts w:ascii="Arial" w:hAnsi="Arial"/>
          <w:b/>
          <w:color w:val="auto"/>
        </w:rPr>
      </w:pPr>
      <w:r w:rsidRPr="00432866">
        <w:rPr>
          <w:rStyle w:val="Heading3Char"/>
          <w:rFonts w:ascii="Arial" w:hAnsi="Arial"/>
          <w:b/>
          <w:color w:val="auto"/>
        </w:rPr>
        <w:t>Report Author:</w:t>
      </w:r>
      <w:r w:rsidRPr="00432866">
        <w:rPr>
          <w:rStyle w:val="Heading3Char"/>
          <w:rFonts w:ascii="Arial" w:hAnsi="Arial"/>
          <w:b/>
          <w:color w:val="auto"/>
        </w:rPr>
        <w:tab/>
      </w:r>
      <w:r w:rsidR="00323D8A">
        <w:rPr>
          <w:rStyle w:val="Heading3Char"/>
          <w:rFonts w:ascii="Arial" w:hAnsi="Arial"/>
          <w:b/>
          <w:color w:val="auto"/>
        </w:rPr>
        <w:t>Kevin McMahon, Head of Risk and Clinical Governance</w:t>
      </w:r>
      <w:r w:rsidRPr="00432866">
        <w:rPr>
          <w:rStyle w:val="Heading3Char"/>
          <w:rFonts w:ascii="Arial" w:hAnsi="Arial"/>
          <w:b/>
          <w:color w:val="auto"/>
        </w:rPr>
        <w:t xml:space="preserve"> </w:t>
      </w:r>
    </w:p>
    <w:p w:rsidR="005C65A6" w:rsidRPr="00432866" w:rsidRDefault="005C65A6" w:rsidP="005C65A6"/>
    <w:p w:rsidR="005C65A6" w:rsidRPr="00FC18AA" w:rsidRDefault="005C65A6" w:rsidP="005C65A6">
      <w:pPr>
        <w:pStyle w:val="Heading2"/>
        <w:spacing w:line="276" w:lineRule="auto"/>
        <w:rPr>
          <w:rFonts w:ascii="Arial" w:hAnsi="Arial" w:cs="Arial"/>
          <w:i w:val="0"/>
          <w:szCs w:val="24"/>
        </w:rPr>
      </w:pPr>
      <w:r w:rsidRPr="00FC18AA">
        <w:rPr>
          <w:rFonts w:ascii="Arial" w:hAnsi="Arial" w:cs="Arial"/>
          <w:i w:val="0"/>
          <w:szCs w:val="24"/>
        </w:rPr>
        <w:t>1</w:t>
      </w:r>
      <w:r w:rsidRPr="00FC18AA">
        <w:rPr>
          <w:rFonts w:ascii="Arial" w:hAnsi="Arial" w:cs="Arial"/>
          <w:i w:val="0"/>
          <w:szCs w:val="24"/>
        </w:rPr>
        <w:tab/>
        <w:t>Purpose</w:t>
      </w:r>
    </w:p>
    <w:p w:rsidR="005C65A6" w:rsidRPr="00432866" w:rsidRDefault="005C65A6" w:rsidP="005C65A6">
      <w:pPr>
        <w:autoSpaceDE w:val="0"/>
        <w:autoSpaceDN w:val="0"/>
        <w:adjustRightInd w:val="0"/>
        <w:spacing w:before="40" w:after="40" w:line="276" w:lineRule="auto"/>
        <w:ind w:left="720"/>
        <w:rPr>
          <w:rFonts w:ascii="Arial" w:hAnsi="Arial" w:cs="Arial"/>
        </w:rPr>
      </w:pPr>
    </w:p>
    <w:p w:rsidR="005C65A6" w:rsidRPr="00432866" w:rsidRDefault="005C65A6" w:rsidP="005C65A6">
      <w:pPr>
        <w:pStyle w:val="Heading3"/>
        <w:spacing w:line="276" w:lineRule="auto"/>
        <w:ind w:left="720"/>
        <w:rPr>
          <w:rFonts w:ascii="Arial" w:hAnsi="Arial" w:cs="Arial"/>
          <w:color w:val="auto"/>
        </w:rPr>
      </w:pPr>
      <w:r w:rsidRPr="00432866">
        <w:rPr>
          <w:rFonts w:ascii="Arial" w:hAnsi="Arial" w:cs="Arial"/>
          <w:color w:val="auto"/>
        </w:rPr>
        <w:t xml:space="preserve">This is presented to </w:t>
      </w:r>
      <w:r w:rsidR="00B0706F">
        <w:rPr>
          <w:rFonts w:ascii="Arial" w:hAnsi="Arial" w:cs="Arial"/>
          <w:color w:val="auto"/>
        </w:rPr>
        <w:t>NHS Golden Jubilee Board</w:t>
      </w:r>
      <w:r w:rsidRPr="00432866">
        <w:rPr>
          <w:rFonts w:ascii="Arial" w:hAnsi="Arial" w:cs="Arial"/>
          <w:color w:val="auto"/>
        </w:rPr>
        <w:t xml:space="preserve"> for: </w:t>
      </w:r>
    </w:p>
    <w:p w:rsidR="005C65A6" w:rsidRPr="00432866" w:rsidRDefault="00B0706F" w:rsidP="005C65A6">
      <w:pPr>
        <w:pStyle w:val="Heading3"/>
        <w:numPr>
          <w:ilvl w:val="0"/>
          <w:numId w:val="1"/>
        </w:numPr>
        <w:spacing w:line="276" w:lineRule="auto"/>
        <w:ind w:left="1080"/>
        <w:rPr>
          <w:rFonts w:ascii="Arial" w:hAnsi="Arial" w:cs="Arial"/>
          <w:color w:val="auto"/>
        </w:rPr>
      </w:pPr>
      <w:r>
        <w:rPr>
          <w:rFonts w:ascii="Arial" w:hAnsi="Arial" w:cs="Arial"/>
          <w:b/>
          <w:color w:val="auto"/>
        </w:rPr>
        <w:t>Approval</w:t>
      </w:r>
    </w:p>
    <w:p w:rsidR="005C65A6" w:rsidRPr="00432866" w:rsidRDefault="005C65A6" w:rsidP="005C65A6">
      <w:pPr>
        <w:autoSpaceDE w:val="0"/>
        <w:autoSpaceDN w:val="0"/>
        <w:adjustRightInd w:val="0"/>
        <w:spacing w:before="40" w:after="40" w:line="276" w:lineRule="auto"/>
        <w:ind w:left="720"/>
        <w:rPr>
          <w:rFonts w:ascii="Arial" w:hAnsi="Arial" w:cs="Arial"/>
        </w:rPr>
      </w:pPr>
    </w:p>
    <w:p w:rsidR="005C65A6" w:rsidRPr="00432866" w:rsidRDefault="005C65A6" w:rsidP="005C65A6">
      <w:pPr>
        <w:pStyle w:val="Heading3"/>
        <w:ind w:left="720"/>
        <w:rPr>
          <w:rFonts w:ascii="Arial" w:hAnsi="Arial" w:cs="Arial"/>
          <w:color w:val="auto"/>
        </w:rPr>
      </w:pPr>
      <w:r w:rsidRPr="00432866">
        <w:rPr>
          <w:rFonts w:ascii="Arial" w:hAnsi="Arial" w:cs="Arial"/>
          <w:color w:val="auto"/>
        </w:rPr>
        <w:t>This report relates to a:</w:t>
      </w:r>
    </w:p>
    <w:p w:rsidR="005C65A6" w:rsidRPr="00432866" w:rsidRDefault="005C65A6" w:rsidP="005C65A6">
      <w:pPr>
        <w:pStyle w:val="ListParagraph"/>
        <w:numPr>
          <w:ilvl w:val="0"/>
          <w:numId w:val="2"/>
        </w:numPr>
        <w:autoSpaceDE w:val="0"/>
        <w:autoSpaceDN w:val="0"/>
        <w:adjustRightInd w:val="0"/>
        <w:spacing w:before="40" w:after="40" w:line="276" w:lineRule="auto"/>
        <w:ind w:left="1080"/>
        <w:rPr>
          <w:rFonts w:ascii="Arial" w:hAnsi="Arial" w:cs="Arial"/>
        </w:rPr>
      </w:pPr>
      <w:r w:rsidRPr="00432866">
        <w:rPr>
          <w:rFonts w:ascii="Arial" w:hAnsi="Arial" w:cs="Arial"/>
        </w:rPr>
        <w:t>Government policy/directive</w:t>
      </w:r>
    </w:p>
    <w:p w:rsidR="005C65A6" w:rsidRPr="00432866" w:rsidRDefault="005C65A6" w:rsidP="005C65A6">
      <w:pPr>
        <w:autoSpaceDE w:val="0"/>
        <w:autoSpaceDN w:val="0"/>
        <w:adjustRightInd w:val="0"/>
        <w:spacing w:before="40" w:after="40" w:line="276" w:lineRule="auto"/>
        <w:ind w:left="720"/>
        <w:rPr>
          <w:rFonts w:ascii="Arial" w:hAnsi="Arial" w:cs="Arial"/>
        </w:rPr>
      </w:pPr>
    </w:p>
    <w:p w:rsidR="005C65A6" w:rsidRPr="00432866" w:rsidRDefault="005C65A6" w:rsidP="005C65A6">
      <w:pPr>
        <w:pStyle w:val="Heading3"/>
        <w:ind w:left="720"/>
        <w:rPr>
          <w:rFonts w:ascii="Arial" w:hAnsi="Arial" w:cs="Arial"/>
          <w:color w:val="auto"/>
        </w:rPr>
      </w:pPr>
      <w:r w:rsidRPr="00432866">
        <w:rPr>
          <w:rFonts w:ascii="Arial" w:hAnsi="Arial" w:cs="Arial"/>
          <w:color w:val="auto"/>
        </w:rPr>
        <w:t>This aligns to the following NHS Scotland quality ambition(s):</w:t>
      </w:r>
    </w:p>
    <w:p w:rsidR="005C65A6" w:rsidRPr="00432866" w:rsidRDefault="005C65A6" w:rsidP="005C65A6">
      <w:pPr>
        <w:pStyle w:val="ListParagraph"/>
        <w:numPr>
          <w:ilvl w:val="0"/>
          <w:numId w:val="3"/>
        </w:numPr>
        <w:autoSpaceDE w:val="0"/>
        <w:autoSpaceDN w:val="0"/>
        <w:adjustRightInd w:val="0"/>
        <w:spacing w:before="40" w:after="40" w:line="276" w:lineRule="auto"/>
        <w:ind w:left="1080"/>
        <w:rPr>
          <w:rFonts w:ascii="Arial" w:hAnsi="Arial" w:cs="Arial"/>
        </w:rPr>
      </w:pPr>
      <w:r w:rsidRPr="00432866">
        <w:rPr>
          <w:rFonts w:ascii="Arial" w:hAnsi="Arial" w:cs="Arial"/>
        </w:rPr>
        <w:t>Safe</w:t>
      </w:r>
    </w:p>
    <w:p w:rsidR="005C65A6" w:rsidRPr="00432866" w:rsidRDefault="005C65A6" w:rsidP="005C65A6">
      <w:pPr>
        <w:pStyle w:val="ListParagraph"/>
        <w:numPr>
          <w:ilvl w:val="0"/>
          <w:numId w:val="3"/>
        </w:numPr>
        <w:autoSpaceDE w:val="0"/>
        <w:autoSpaceDN w:val="0"/>
        <w:adjustRightInd w:val="0"/>
        <w:spacing w:before="40" w:after="40" w:line="276" w:lineRule="auto"/>
        <w:ind w:left="1080"/>
        <w:rPr>
          <w:rFonts w:ascii="Arial" w:hAnsi="Arial" w:cs="Arial"/>
        </w:rPr>
      </w:pPr>
      <w:r w:rsidRPr="00432866">
        <w:rPr>
          <w:rFonts w:ascii="Arial" w:hAnsi="Arial" w:cs="Arial"/>
        </w:rPr>
        <w:t>Effective</w:t>
      </w:r>
    </w:p>
    <w:p w:rsidR="005C65A6" w:rsidRPr="00432866" w:rsidRDefault="005C65A6" w:rsidP="005C65A6">
      <w:pPr>
        <w:pStyle w:val="ListParagraph"/>
        <w:numPr>
          <w:ilvl w:val="0"/>
          <w:numId w:val="3"/>
        </w:numPr>
        <w:autoSpaceDE w:val="0"/>
        <w:autoSpaceDN w:val="0"/>
        <w:adjustRightInd w:val="0"/>
        <w:spacing w:before="40" w:after="40" w:line="276" w:lineRule="auto"/>
        <w:ind w:left="1080"/>
        <w:rPr>
          <w:rFonts w:ascii="Arial" w:hAnsi="Arial" w:cs="Arial"/>
        </w:rPr>
      </w:pPr>
      <w:r w:rsidRPr="00432866">
        <w:rPr>
          <w:rFonts w:ascii="Arial" w:hAnsi="Arial" w:cs="Arial"/>
        </w:rPr>
        <w:t>Person Centred</w:t>
      </w:r>
    </w:p>
    <w:p w:rsidR="005C65A6" w:rsidRPr="00432866" w:rsidRDefault="005C65A6" w:rsidP="005C65A6">
      <w:pPr>
        <w:autoSpaceDE w:val="0"/>
        <w:autoSpaceDN w:val="0"/>
        <w:adjustRightInd w:val="0"/>
        <w:spacing w:before="40" w:after="40" w:line="276" w:lineRule="auto"/>
        <w:ind w:left="720"/>
        <w:rPr>
          <w:rFonts w:ascii="Arial" w:hAnsi="Arial" w:cs="Arial"/>
        </w:rPr>
      </w:pPr>
    </w:p>
    <w:p w:rsidR="005C65A6" w:rsidRPr="00432866" w:rsidRDefault="005C65A6" w:rsidP="005C65A6">
      <w:pPr>
        <w:autoSpaceDE w:val="0"/>
        <w:autoSpaceDN w:val="0"/>
        <w:adjustRightInd w:val="0"/>
        <w:spacing w:before="40" w:after="40" w:line="276" w:lineRule="auto"/>
        <w:ind w:left="720"/>
        <w:rPr>
          <w:rFonts w:ascii="Arial" w:hAnsi="Arial" w:cs="Arial"/>
          <w:b/>
        </w:rPr>
      </w:pPr>
      <w:r w:rsidRPr="00432866">
        <w:rPr>
          <w:rFonts w:ascii="Arial" w:hAnsi="Arial" w:cs="Arial"/>
          <w:b/>
        </w:rPr>
        <w:t>This aligns to the following NHSGJ Corporate Objectives:</w:t>
      </w:r>
    </w:p>
    <w:p w:rsidR="005C65A6" w:rsidRPr="00432866" w:rsidRDefault="005C65A6" w:rsidP="005C65A6">
      <w:pPr>
        <w:pStyle w:val="ListParagraph"/>
        <w:numPr>
          <w:ilvl w:val="0"/>
          <w:numId w:val="4"/>
        </w:numPr>
        <w:spacing w:line="276" w:lineRule="auto"/>
        <w:rPr>
          <w:rFonts w:ascii="Arial" w:hAnsi="Arial" w:cs="Arial"/>
          <w:spacing w:val="-3"/>
          <w:lang w:eastAsia="en-US"/>
        </w:rPr>
      </w:pPr>
      <w:r w:rsidRPr="00432866">
        <w:rPr>
          <w:rFonts w:ascii="Arial" w:hAnsi="Arial" w:cs="Arial"/>
          <w:spacing w:val="-3"/>
          <w:lang w:eastAsia="en-US"/>
        </w:rPr>
        <w:t>High Performing Organisation – Establishing the conditions for success to enable excellent outcomes and experience for patients and staff</w:t>
      </w:r>
    </w:p>
    <w:p w:rsidR="005C65A6" w:rsidRPr="00432866" w:rsidRDefault="005C65A6" w:rsidP="005C65A6">
      <w:pPr>
        <w:spacing w:line="276" w:lineRule="auto"/>
        <w:rPr>
          <w:rFonts w:ascii="Arial" w:hAnsi="Arial" w:cs="Arial"/>
          <w:spacing w:val="-3"/>
          <w:lang w:eastAsia="en-US"/>
        </w:rPr>
      </w:pPr>
    </w:p>
    <w:p w:rsidR="005C65A6" w:rsidRPr="00432866" w:rsidRDefault="005C65A6" w:rsidP="005C65A6">
      <w:pPr>
        <w:pStyle w:val="Heading2"/>
        <w:ind w:left="686" w:hanging="686"/>
        <w:rPr>
          <w:rFonts w:ascii="Arial" w:hAnsi="Arial" w:cs="Arial"/>
          <w:i w:val="0"/>
          <w:sz w:val="24"/>
          <w:szCs w:val="24"/>
        </w:rPr>
      </w:pPr>
      <w:r w:rsidRPr="00FC18AA">
        <w:rPr>
          <w:rFonts w:ascii="Arial" w:hAnsi="Arial" w:cs="Arial"/>
          <w:i w:val="0"/>
          <w:szCs w:val="24"/>
        </w:rPr>
        <w:t>2</w:t>
      </w:r>
      <w:r w:rsidRPr="00FC18AA">
        <w:rPr>
          <w:rFonts w:ascii="Arial" w:hAnsi="Arial" w:cs="Arial"/>
          <w:i w:val="0"/>
          <w:szCs w:val="24"/>
        </w:rPr>
        <w:tab/>
        <w:t>Report summary</w:t>
      </w:r>
      <w:r w:rsidRPr="00432866">
        <w:rPr>
          <w:rFonts w:ascii="Arial" w:hAnsi="Arial" w:cs="Arial"/>
          <w:i w:val="0"/>
          <w:sz w:val="24"/>
          <w:szCs w:val="24"/>
        </w:rPr>
        <w:tab/>
      </w:r>
    </w:p>
    <w:p w:rsidR="005C65A6" w:rsidRPr="00432866" w:rsidRDefault="005C65A6" w:rsidP="005C65A6">
      <w:pPr>
        <w:pStyle w:val="Heading2"/>
        <w:ind w:left="686" w:hanging="686"/>
        <w:rPr>
          <w:rFonts w:ascii="Arial" w:hAnsi="Arial" w:cs="Arial"/>
          <w:i w:val="0"/>
          <w:sz w:val="24"/>
          <w:szCs w:val="24"/>
        </w:rPr>
      </w:pPr>
      <w:r w:rsidRPr="00432866">
        <w:rPr>
          <w:rFonts w:ascii="Arial" w:hAnsi="Arial" w:cs="Arial"/>
          <w:i w:val="0"/>
          <w:sz w:val="24"/>
          <w:szCs w:val="24"/>
        </w:rPr>
        <w:t>2.1</w:t>
      </w:r>
      <w:r w:rsidRPr="00432866">
        <w:rPr>
          <w:rFonts w:ascii="Arial" w:hAnsi="Arial" w:cs="Arial"/>
          <w:i w:val="0"/>
          <w:sz w:val="24"/>
          <w:szCs w:val="24"/>
        </w:rPr>
        <w:tab/>
        <w:t>Situation</w:t>
      </w:r>
    </w:p>
    <w:p w:rsidR="005C65A6" w:rsidRDefault="005C65A6" w:rsidP="005C65A6">
      <w:pPr>
        <w:ind w:left="686"/>
        <w:rPr>
          <w:rFonts w:ascii="Arial" w:hAnsi="Arial" w:cs="Arial"/>
        </w:rPr>
      </w:pPr>
      <w:r w:rsidRPr="00432866">
        <w:rPr>
          <w:rFonts w:ascii="Arial" w:hAnsi="Arial" w:cs="Arial"/>
        </w:rPr>
        <w:t>This paper provides an overview of th</w:t>
      </w:r>
      <w:r w:rsidR="00620B59">
        <w:rPr>
          <w:rFonts w:ascii="Arial" w:hAnsi="Arial" w:cs="Arial"/>
        </w:rPr>
        <w:t xml:space="preserve">e quarter 2 </w:t>
      </w:r>
      <w:r w:rsidR="00323D8A">
        <w:rPr>
          <w:rFonts w:ascii="Arial" w:hAnsi="Arial" w:cs="Arial"/>
        </w:rPr>
        <w:t>activity (</w:t>
      </w:r>
      <w:r w:rsidR="00045A6B">
        <w:rPr>
          <w:rFonts w:ascii="Arial" w:hAnsi="Arial" w:cs="Arial"/>
        </w:rPr>
        <w:t xml:space="preserve">July </w:t>
      </w:r>
      <w:r w:rsidR="00323D8A">
        <w:rPr>
          <w:rFonts w:ascii="Arial" w:hAnsi="Arial" w:cs="Arial"/>
        </w:rPr>
        <w:t xml:space="preserve">2025 to </w:t>
      </w:r>
      <w:r w:rsidR="00045A6B">
        <w:rPr>
          <w:rFonts w:ascii="Arial" w:hAnsi="Arial" w:cs="Arial"/>
        </w:rPr>
        <w:t xml:space="preserve">Sept </w:t>
      </w:r>
      <w:r w:rsidR="00323D8A">
        <w:rPr>
          <w:rFonts w:ascii="Arial" w:hAnsi="Arial" w:cs="Arial"/>
        </w:rPr>
        <w:t>2025) including the</w:t>
      </w:r>
      <w:r w:rsidRPr="00432866">
        <w:rPr>
          <w:rFonts w:ascii="Arial" w:hAnsi="Arial" w:cs="Arial"/>
        </w:rPr>
        <w:t xml:space="preserve"> Key Performance Indicato</w:t>
      </w:r>
      <w:r w:rsidR="00323D8A">
        <w:rPr>
          <w:rFonts w:ascii="Arial" w:hAnsi="Arial" w:cs="Arial"/>
        </w:rPr>
        <w:t>rs (KPI’s) introduced with the national Complaints Handling</w:t>
      </w:r>
      <w:r w:rsidRPr="00432866">
        <w:rPr>
          <w:rFonts w:ascii="Arial" w:hAnsi="Arial" w:cs="Arial"/>
        </w:rPr>
        <w:t xml:space="preserve"> </w:t>
      </w:r>
      <w:r w:rsidR="00323D8A">
        <w:rPr>
          <w:rFonts w:ascii="Arial" w:hAnsi="Arial" w:cs="Arial"/>
        </w:rPr>
        <w:t xml:space="preserve">Procedure. </w:t>
      </w:r>
    </w:p>
    <w:p w:rsidR="00D62A72" w:rsidRPr="00432866" w:rsidRDefault="00D62A72" w:rsidP="00D62A72">
      <w:pPr>
        <w:rPr>
          <w:rFonts w:ascii="Arial" w:hAnsi="Arial" w:cs="Arial"/>
        </w:rPr>
      </w:pPr>
    </w:p>
    <w:p w:rsidR="005C65A6" w:rsidRPr="00432866" w:rsidRDefault="005C65A6" w:rsidP="005C65A6">
      <w:pPr>
        <w:spacing w:before="40" w:after="40" w:line="276" w:lineRule="auto"/>
        <w:rPr>
          <w:rFonts w:ascii="Arial" w:hAnsi="Arial" w:cs="Arial"/>
        </w:rPr>
      </w:pPr>
    </w:p>
    <w:p w:rsidR="005C65A6" w:rsidRPr="00432866" w:rsidRDefault="005C65A6" w:rsidP="005C65A6">
      <w:pPr>
        <w:pStyle w:val="Heading2"/>
        <w:ind w:left="686" w:hanging="686"/>
        <w:rPr>
          <w:rFonts w:ascii="Arial" w:hAnsi="Arial" w:cs="Arial"/>
          <w:i w:val="0"/>
          <w:sz w:val="24"/>
          <w:szCs w:val="24"/>
        </w:rPr>
      </w:pPr>
      <w:r w:rsidRPr="00432866">
        <w:rPr>
          <w:rFonts w:ascii="Arial" w:hAnsi="Arial" w:cs="Arial"/>
          <w:i w:val="0"/>
          <w:sz w:val="24"/>
          <w:szCs w:val="24"/>
        </w:rPr>
        <w:lastRenderedPageBreak/>
        <w:t>2.2</w:t>
      </w:r>
      <w:r w:rsidRPr="00432866">
        <w:rPr>
          <w:rFonts w:ascii="Arial" w:hAnsi="Arial" w:cs="Arial"/>
          <w:i w:val="0"/>
          <w:sz w:val="24"/>
          <w:szCs w:val="24"/>
        </w:rPr>
        <w:tab/>
        <w:t>Background</w:t>
      </w:r>
    </w:p>
    <w:p w:rsidR="005C65A6" w:rsidRDefault="00323D8A" w:rsidP="005C65A6">
      <w:pPr>
        <w:ind w:left="686" w:firstLine="34"/>
        <w:rPr>
          <w:rFonts w:ascii="Arial" w:hAnsi="Arial" w:cs="Arial"/>
        </w:rPr>
      </w:pPr>
      <w:r>
        <w:rPr>
          <w:rFonts w:ascii="Arial" w:hAnsi="Arial" w:cs="Arial"/>
        </w:rPr>
        <w:t xml:space="preserve">NHS Golden Jubilee aim to adhere to the standards set out in the Scotland’s </w:t>
      </w:r>
      <w:r w:rsidR="005C65A6" w:rsidRPr="00432866">
        <w:rPr>
          <w:rFonts w:ascii="Arial" w:hAnsi="Arial" w:cs="Arial"/>
        </w:rPr>
        <w:t>Complaints Handling Procedure (CHP)</w:t>
      </w:r>
      <w:r w:rsidR="00AA6EB8">
        <w:rPr>
          <w:rFonts w:ascii="Arial" w:hAnsi="Arial" w:cs="Arial"/>
        </w:rPr>
        <w:t xml:space="preserve">, the performance is monitored through the </w:t>
      </w:r>
      <w:r w:rsidR="005C65A6" w:rsidRPr="00432866">
        <w:rPr>
          <w:rFonts w:ascii="Arial" w:hAnsi="Arial" w:cs="Arial"/>
        </w:rPr>
        <w:t>Clinical Governance structure</w:t>
      </w:r>
      <w:r w:rsidR="00AA6EB8">
        <w:rPr>
          <w:rFonts w:ascii="Arial" w:hAnsi="Arial" w:cs="Arial"/>
        </w:rPr>
        <w:t xml:space="preserve">s within the NHS Golden Jubilee, both for learning for improvements and patient experience. </w:t>
      </w:r>
      <w:r>
        <w:rPr>
          <w:rFonts w:ascii="Arial" w:hAnsi="Arial" w:cs="Arial"/>
        </w:rPr>
        <w:t xml:space="preserve"> </w:t>
      </w:r>
    </w:p>
    <w:p w:rsidR="00197E4C" w:rsidRPr="00432866" w:rsidRDefault="00197E4C" w:rsidP="005C65A6">
      <w:pPr>
        <w:ind w:left="686" w:firstLine="34"/>
        <w:rPr>
          <w:rFonts w:ascii="Arial" w:hAnsi="Arial" w:cs="Arial"/>
        </w:rPr>
      </w:pPr>
    </w:p>
    <w:p w:rsidR="005C65A6" w:rsidRPr="00432866" w:rsidRDefault="005C65A6" w:rsidP="005C65A6">
      <w:pPr>
        <w:pStyle w:val="Heading2"/>
        <w:rPr>
          <w:rFonts w:ascii="Arial" w:hAnsi="Arial" w:cs="Arial"/>
          <w:i w:val="0"/>
          <w:sz w:val="24"/>
          <w:szCs w:val="24"/>
        </w:rPr>
      </w:pPr>
      <w:r w:rsidRPr="00432866">
        <w:rPr>
          <w:rFonts w:ascii="Arial" w:hAnsi="Arial" w:cs="Arial"/>
          <w:i w:val="0"/>
          <w:sz w:val="24"/>
          <w:szCs w:val="24"/>
        </w:rPr>
        <w:t>2.3</w:t>
      </w:r>
      <w:r w:rsidRPr="00432866">
        <w:rPr>
          <w:rFonts w:ascii="Arial" w:hAnsi="Arial" w:cs="Arial"/>
          <w:i w:val="0"/>
          <w:sz w:val="24"/>
          <w:szCs w:val="24"/>
        </w:rPr>
        <w:tab/>
        <w:t>Assessment</w:t>
      </w:r>
    </w:p>
    <w:p w:rsidR="005C65A6" w:rsidRPr="00432866" w:rsidRDefault="005C65A6" w:rsidP="005C65A6">
      <w:pPr>
        <w:ind w:left="720"/>
        <w:rPr>
          <w:rFonts w:ascii="Arial" w:hAnsi="Arial" w:cs="Arial"/>
          <w:b/>
          <w:bCs/>
        </w:rPr>
      </w:pPr>
      <w:r w:rsidRPr="00432866">
        <w:rPr>
          <w:rFonts w:ascii="Arial" w:hAnsi="Arial" w:cs="Arial"/>
        </w:rPr>
        <w:t xml:space="preserve">Appendix 1 provides a report of feedback activity for the period </w:t>
      </w:r>
      <w:r w:rsidR="00045A6B">
        <w:rPr>
          <w:rFonts w:ascii="Arial" w:hAnsi="Arial" w:cs="Arial"/>
        </w:rPr>
        <w:t>1</w:t>
      </w:r>
      <w:r w:rsidR="00045A6B" w:rsidRPr="00045A6B">
        <w:rPr>
          <w:rFonts w:ascii="Arial" w:hAnsi="Arial" w:cs="Arial"/>
          <w:vertAlign w:val="superscript"/>
        </w:rPr>
        <w:t>st</w:t>
      </w:r>
      <w:r w:rsidR="00045A6B">
        <w:rPr>
          <w:rFonts w:ascii="Arial" w:hAnsi="Arial" w:cs="Arial"/>
        </w:rPr>
        <w:t xml:space="preserve"> July</w:t>
      </w:r>
      <w:r w:rsidRPr="00432866">
        <w:rPr>
          <w:rFonts w:ascii="Arial" w:hAnsi="Arial" w:cs="Arial"/>
        </w:rPr>
        <w:t xml:space="preserve"> 202</w:t>
      </w:r>
      <w:r w:rsidR="00C56EE9">
        <w:rPr>
          <w:rFonts w:ascii="Arial" w:hAnsi="Arial" w:cs="Arial"/>
        </w:rPr>
        <w:t>5</w:t>
      </w:r>
      <w:r w:rsidRPr="00432866">
        <w:rPr>
          <w:rFonts w:ascii="Arial" w:hAnsi="Arial" w:cs="Arial"/>
        </w:rPr>
        <w:t xml:space="preserve"> – 30</w:t>
      </w:r>
      <w:r w:rsidRPr="00432866">
        <w:rPr>
          <w:rFonts w:ascii="Arial" w:hAnsi="Arial" w:cs="Arial"/>
          <w:vertAlign w:val="superscript"/>
        </w:rPr>
        <w:t>th</w:t>
      </w:r>
      <w:r w:rsidRPr="00432866">
        <w:rPr>
          <w:rFonts w:ascii="Arial" w:hAnsi="Arial" w:cs="Arial"/>
        </w:rPr>
        <w:t xml:space="preserve"> </w:t>
      </w:r>
      <w:r w:rsidR="00045A6B">
        <w:rPr>
          <w:rFonts w:ascii="Arial" w:hAnsi="Arial" w:cs="Arial"/>
        </w:rPr>
        <w:t>Sept</w:t>
      </w:r>
      <w:r w:rsidR="00197E4C">
        <w:rPr>
          <w:rFonts w:ascii="Arial" w:hAnsi="Arial" w:cs="Arial"/>
        </w:rPr>
        <w:t>ember</w:t>
      </w:r>
      <w:r w:rsidRPr="00432866">
        <w:rPr>
          <w:rFonts w:ascii="Arial" w:hAnsi="Arial" w:cs="Arial"/>
        </w:rPr>
        <w:t xml:space="preserve"> 202</w:t>
      </w:r>
      <w:r w:rsidR="00C56EE9">
        <w:rPr>
          <w:rFonts w:ascii="Arial" w:hAnsi="Arial" w:cs="Arial"/>
        </w:rPr>
        <w:t>5</w:t>
      </w:r>
      <w:r w:rsidRPr="00432866">
        <w:rPr>
          <w:rFonts w:ascii="Arial" w:hAnsi="Arial" w:cs="Arial"/>
        </w:rPr>
        <w:t xml:space="preserve">. </w:t>
      </w:r>
    </w:p>
    <w:p w:rsidR="005C65A6" w:rsidRPr="00432866" w:rsidRDefault="005C65A6" w:rsidP="005C65A6">
      <w:pPr>
        <w:pStyle w:val="Heading3"/>
        <w:spacing w:line="276" w:lineRule="auto"/>
        <w:rPr>
          <w:rFonts w:ascii="Arial" w:eastAsia="Times New Roman" w:hAnsi="Arial" w:cs="Arial"/>
          <w:b/>
          <w:color w:val="auto"/>
        </w:rPr>
      </w:pPr>
    </w:p>
    <w:p w:rsidR="005C65A6" w:rsidRPr="00432866" w:rsidRDefault="005C65A6" w:rsidP="005C65A6">
      <w:pPr>
        <w:pStyle w:val="Heading3"/>
        <w:spacing w:line="276" w:lineRule="auto"/>
        <w:rPr>
          <w:rFonts w:ascii="Arial" w:hAnsi="Arial" w:cs="Arial"/>
          <w:b/>
          <w:color w:val="auto"/>
        </w:rPr>
      </w:pPr>
      <w:r w:rsidRPr="00432866">
        <w:rPr>
          <w:rFonts w:ascii="Arial" w:hAnsi="Arial" w:cs="Arial"/>
          <w:b/>
          <w:color w:val="auto"/>
        </w:rPr>
        <w:t>2.3.1</w:t>
      </w:r>
      <w:r w:rsidRPr="00432866">
        <w:rPr>
          <w:rFonts w:ascii="Arial" w:hAnsi="Arial" w:cs="Arial"/>
          <w:b/>
          <w:color w:val="auto"/>
        </w:rPr>
        <w:tab/>
        <w:t>Quality/Patient Care</w:t>
      </w:r>
    </w:p>
    <w:p w:rsidR="00AA6EB8" w:rsidRDefault="005C65A6" w:rsidP="005C65A6">
      <w:pPr>
        <w:spacing w:before="40" w:after="40" w:line="276" w:lineRule="auto"/>
        <w:ind w:left="720"/>
        <w:rPr>
          <w:rFonts w:ascii="Arial" w:hAnsi="Arial" w:cs="Arial"/>
        </w:rPr>
      </w:pPr>
      <w:r w:rsidRPr="00432866">
        <w:rPr>
          <w:rFonts w:ascii="Arial" w:hAnsi="Arial" w:cs="Arial"/>
        </w:rPr>
        <w:t xml:space="preserve">Work is ongoing with Division Management Teams to continually monitor and improve our current process to ensure a high quality of responses to patient feedback.  </w:t>
      </w:r>
    </w:p>
    <w:p w:rsidR="00AA6EB8" w:rsidRDefault="00AA6EB8" w:rsidP="005C65A6">
      <w:pPr>
        <w:spacing w:before="40" w:after="40" w:line="276" w:lineRule="auto"/>
        <w:ind w:left="720"/>
        <w:rPr>
          <w:rFonts w:ascii="Arial" w:hAnsi="Arial" w:cs="Arial"/>
        </w:rPr>
      </w:pPr>
    </w:p>
    <w:p w:rsidR="00AA6EB8" w:rsidRDefault="005C65A6" w:rsidP="005C65A6">
      <w:pPr>
        <w:spacing w:before="40" w:after="40" w:line="276" w:lineRule="auto"/>
        <w:ind w:left="720"/>
        <w:rPr>
          <w:rFonts w:ascii="Arial" w:hAnsi="Arial" w:cs="Arial"/>
        </w:rPr>
      </w:pPr>
      <w:r w:rsidRPr="00432866">
        <w:rPr>
          <w:rFonts w:ascii="Arial" w:hAnsi="Arial" w:cs="Arial"/>
        </w:rPr>
        <w:t>Division</w:t>
      </w:r>
      <w:r w:rsidR="00606099">
        <w:rPr>
          <w:rFonts w:ascii="Arial" w:hAnsi="Arial" w:cs="Arial"/>
        </w:rPr>
        <w:t>al</w:t>
      </w:r>
      <w:r w:rsidRPr="00432866">
        <w:rPr>
          <w:rFonts w:ascii="Arial" w:hAnsi="Arial" w:cs="Arial"/>
        </w:rPr>
        <w:t xml:space="preserve"> Assurance Templates to support the Divisions Confirm and Challenge </w:t>
      </w:r>
      <w:r w:rsidR="00AA6EB8">
        <w:rPr>
          <w:rFonts w:ascii="Arial" w:hAnsi="Arial" w:cs="Arial"/>
        </w:rPr>
        <w:t xml:space="preserve">reporting to provide assurance on system wide learning opportunities are identified. </w:t>
      </w:r>
      <w:r w:rsidR="00D62A72">
        <w:rPr>
          <w:rFonts w:ascii="Arial" w:hAnsi="Arial" w:cs="Arial"/>
        </w:rPr>
        <w:t xml:space="preserve">An improvement plan relating to complaints KPI’s is underway and monitored through the Clinical Governance Risk Management Group. </w:t>
      </w:r>
    </w:p>
    <w:p w:rsidR="00AA6EB8" w:rsidRDefault="00AA6EB8" w:rsidP="005C65A6">
      <w:pPr>
        <w:spacing w:before="40" w:after="40" w:line="276" w:lineRule="auto"/>
        <w:ind w:left="720"/>
        <w:rPr>
          <w:rFonts w:ascii="Arial" w:hAnsi="Arial" w:cs="Arial"/>
        </w:rPr>
      </w:pPr>
    </w:p>
    <w:p w:rsidR="005C65A6" w:rsidRPr="00432866" w:rsidRDefault="005C65A6" w:rsidP="005C65A6">
      <w:pPr>
        <w:pStyle w:val="Heading3"/>
        <w:spacing w:line="276" w:lineRule="auto"/>
        <w:rPr>
          <w:rFonts w:ascii="Arial" w:hAnsi="Arial" w:cs="Arial"/>
          <w:b/>
          <w:color w:val="auto"/>
        </w:rPr>
      </w:pPr>
      <w:r w:rsidRPr="00432866">
        <w:rPr>
          <w:rFonts w:ascii="Arial" w:hAnsi="Arial" w:cs="Arial"/>
          <w:b/>
          <w:color w:val="auto"/>
        </w:rPr>
        <w:t>2.3.2</w:t>
      </w:r>
      <w:r w:rsidRPr="00432866">
        <w:rPr>
          <w:rFonts w:ascii="Arial" w:hAnsi="Arial" w:cs="Arial"/>
          <w:b/>
          <w:color w:val="auto"/>
        </w:rPr>
        <w:tab/>
        <w:t>Workforce</w:t>
      </w:r>
    </w:p>
    <w:p w:rsidR="005C65A6" w:rsidRPr="00432866" w:rsidRDefault="005C65A6" w:rsidP="005C65A6">
      <w:pPr>
        <w:spacing w:before="40" w:after="40" w:line="276" w:lineRule="auto"/>
        <w:ind w:left="720"/>
        <w:rPr>
          <w:rFonts w:ascii="Arial" w:hAnsi="Arial" w:cs="Arial"/>
        </w:rPr>
      </w:pPr>
      <w:r w:rsidRPr="00432866">
        <w:rPr>
          <w:rFonts w:ascii="Arial" w:hAnsi="Arial" w:cs="Arial"/>
        </w:rPr>
        <w:t>The patient feedback process undoubtedly presents challenges in various forms to the workforce both from a psychological and capacity perspective.  The organisation is reinforcing support mechanisms for those involved whilst ensuring that learning is the focus of the outcome of patient feedback.</w:t>
      </w:r>
    </w:p>
    <w:p w:rsidR="005C65A6" w:rsidRPr="00432866" w:rsidRDefault="005C65A6" w:rsidP="005C65A6">
      <w:pPr>
        <w:rPr>
          <w:rFonts w:ascii="Arial" w:hAnsi="Arial" w:cs="Arial"/>
        </w:rPr>
      </w:pPr>
    </w:p>
    <w:p w:rsidR="005C65A6" w:rsidRPr="00432866" w:rsidRDefault="005C65A6" w:rsidP="005C65A6">
      <w:pPr>
        <w:pStyle w:val="Heading3"/>
        <w:spacing w:line="276" w:lineRule="auto"/>
        <w:rPr>
          <w:rFonts w:ascii="Arial" w:hAnsi="Arial" w:cs="Arial"/>
          <w:b/>
          <w:color w:val="auto"/>
        </w:rPr>
      </w:pPr>
      <w:r w:rsidRPr="00432866">
        <w:rPr>
          <w:rFonts w:ascii="Arial" w:hAnsi="Arial" w:cs="Arial"/>
          <w:b/>
          <w:color w:val="auto"/>
        </w:rPr>
        <w:t>2.3.3</w:t>
      </w:r>
      <w:r w:rsidRPr="00432866">
        <w:rPr>
          <w:rFonts w:ascii="Arial" w:hAnsi="Arial" w:cs="Arial"/>
          <w:b/>
          <w:color w:val="auto"/>
        </w:rPr>
        <w:tab/>
        <w:t>Financial</w:t>
      </w:r>
    </w:p>
    <w:p w:rsidR="005C65A6" w:rsidRPr="00432866" w:rsidRDefault="005C65A6" w:rsidP="005C65A6">
      <w:pPr>
        <w:spacing w:before="40" w:after="40" w:line="276" w:lineRule="auto"/>
        <w:ind w:left="720"/>
        <w:rPr>
          <w:rFonts w:ascii="Arial" w:hAnsi="Arial" w:cs="Arial"/>
        </w:rPr>
      </w:pPr>
      <w:r w:rsidRPr="00432866">
        <w:rPr>
          <w:rFonts w:ascii="Arial" w:hAnsi="Arial" w:cs="Arial"/>
        </w:rPr>
        <w:t>There is a potential for financial impact to the organisation in relation to claims as a result of adverse events.</w:t>
      </w:r>
    </w:p>
    <w:p w:rsidR="005C65A6" w:rsidRPr="00432866" w:rsidRDefault="005C65A6" w:rsidP="005C65A6">
      <w:pPr>
        <w:pStyle w:val="ListParagraph"/>
        <w:spacing w:before="40" w:after="40" w:line="276" w:lineRule="auto"/>
        <w:ind w:left="394"/>
        <w:rPr>
          <w:rFonts w:ascii="Arial" w:hAnsi="Arial" w:cs="Arial"/>
        </w:rPr>
      </w:pPr>
    </w:p>
    <w:p w:rsidR="005C65A6" w:rsidRPr="00432866" w:rsidRDefault="005C65A6" w:rsidP="005C65A6">
      <w:pPr>
        <w:pStyle w:val="Heading3"/>
        <w:spacing w:line="276" w:lineRule="auto"/>
        <w:rPr>
          <w:rFonts w:ascii="Arial" w:hAnsi="Arial" w:cs="Arial"/>
          <w:b/>
          <w:color w:val="auto"/>
        </w:rPr>
      </w:pPr>
      <w:r w:rsidRPr="00432866">
        <w:rPr>
          <w:rFonts w:ascii="Arial" w:hAnsi="Arial" w:cs="Arial"/>
          <w:b/>
          <w:color w:val="auto"/>
        </w:rPr>
        <w:t>2.3.4</w:t>
      </w:r>
      <w:r w:rsidRPr="00432866">
        <w:rPr>
          <w:rFonts w:ascii="Arial" w:hAnsi="Arial" w:cs="Arial"/>
          <w:b/>
          <w:color w:val="auto"/>
        </w:rPr>
        <w:tab/>
        <w:t>Risk Assessment/Management</w:t>
      </w:r>
    </w:p>
    <w:p w:rsidR="005C65A6" w:rsidRPr="00432866" w:rsidRDefault="005C65A6" w:rsidP="005C65A6">
      <w:pPr>
        <w:spacing w:before="40" w:after="40" w:line="276" w:lineRule="auto"/>
        <w:ind w:left="709"/>
        <w:rPr>
          <w:rFonts w:ascii="Arial" w:hAnsi="Arial" w:cs="Arial"/>
        </w:rPr>
      </w:pPr>
      <w:r w:rsidRPr="00432866">
        <w:rPr>
          <w:rFonts w:ascii="Arial" w:hAnsi="Arial" w:cs="Arial"/>
        </w:rPr>
        <w:t>Patient feedback is managed on a case by case basis and risk assessment is supported where required with escalation to the Significant Adverse Event process if necessary.</w:t>
      </w:r>
    </w:p>
    <w:p w:rsidR="005C65A6" w:rsidRPr="00432866" w:rsidRDefault="005C65A6" w:rsidP="005C65A6">
      <w:pPr>
        <w:spacing w:before="40" w:after="40" w:line="276" w:lineRule="auto"/>
        <w:rPr>
          <w:rFonts w:ascii="Arial" w:hAnsi="Arial" w:cs="Arial"/>
        </w:rPr>
      </w:pPr>
    </w:p>
    <w:p w:rsidR="005C65A6" w:rsidRPr="00432866" w:rsidRDefault="005C65A6" w:rsidP="005C65A6">
      <w:pPr>
        <w:pStyle w:val="Heading3"/>
        <w:spacing w:line="276" w:lineRule="auto"/>
        <w:ind w:left="709" w:hanging="709"/>
        <w:rPr>
          <w:rFonts w:ascii="Arial" w:hAnsi="Arial" w:cs="Arial"/>
          <w:color w:val="auto"/>
        </w:rPr>
      </w:pPr>
      <w:r w:rsidRPr="00432866">
        <w:rPr>
          <w:rFonts w:ascii="Arial" w:hAnsi="Arial" w:cs="Arial"/>
          <w:color w:val="auto"/>
        </w:rPr>
        <w:t>2.3.5</w:t>
      </w:r>
      <w:r w:rsidRPr="00432866">
        <w:rPr>
          <w:rFonts w:ascii="Arial" w:hAnsi="Arial" w:cs="Arial"/>
          <w:color w:val="auto"/>
        </w:rPr>
        <w:tab/>
      </w:r>
      <w:r w:rsidRPr="00432866">
        <w:rPr>
          <w:rFonts w:ascii="Arial" w:hAnsi="Arial" w:cs="Arial"/>
          <w:b/>
          <w:color w:val="auto"/>
        </w:rPr>
        <w:t>Equality and Diversity, including health inequalities</w:t>
      </w:r>
      <w:r w:rsidRPr="00432866">
        <w:rPr>
          <w:rFonts w:ascii="Arial" w:hAnsi="Arial" w:cs="Arial"/>
          <w:color w:val="auto"/>
        </w:rPr>
        <w:br/>
      </w:r>
      <w:proofErr w:type="gramStart"/>
      <w:r w:rsidRPr="00432866">
        <w:rPr>
          <w:rFonts w:ascii="Arial" w:hAnsi="Arial" w:cs="Arial"/>
          <w:color w:val="auto"/>
        </w:rPr>
        <w:t>An</w:t>
      </w:r>
      <w:proofErr w:type="gramEnd"/>
      <w:r w:rsidRPr="00432866">
        <w:rPr>
          <w:rFonts w:ascii="Arial" w:hAnsi="Arial" w:cs="Arial"/>
          <w:color w:val="auto"/>
        </w:rPr>
        <w:t xml:space="preserve"> impact assessment has not been completed as this paper provides a report following an analysis of data. </w:t>
      </w:r>
    </w:p>
    <w:p w:rsidR="005C65A6" w:rsidRPr="00432866" w:rsidRDefault="005C65A6" w:rsidP="005C65A6">
      <w:pPr>
        <w:rPr>
          <w:rFonts w:ascii="Arial" w:hAnsi="Arial" w:cs="Arial"/>
        </w:rPr>
      </w:pPr>
    </w:p>
    <w:p w:rsidR="005C65A6" w:rsidRPr="00432866" w:rsidRDefault="005C65A6" w:rsidP="005C65A6">
      <w:pPr>
        <w:pStyle w:val="Heading3"/>
        <w:rPr>
          <w:rFonts w:ascii="Arial" w:hAnsi="Arial" w:cs="Arial"/>
          <w:b/>
          <w:color w:val="auto"/>
        </w:rPr>
      </w:pPr>
      <w:r w:rsidRPr="00432866">
        <w:rPr>
          <w:rFonts w:ascii="Arial" w:hAnsi="Arial" w:cs="Arial"/>
          <w:b/>
          <w:color w:val="auto"/>
        </w:rPr>
        <w:t>2.3.6</w:t>
      </w:r>
      <w:r w:rsidRPr="00432866">
        <w:rPr>
          <w:rFonts w:ascii="Arial" w:hAnsi="Arial" w:cs="Arial"/>
          <w:b/>
          <w:color w:val="auto"/>
        </w:rPr>
        <w:tab/>
        <w:t>Other impacts</w:t>
      </w:r>
    </w:p>
    <w:p w:rsidR="005C65A6" w:rsidRPr="00432866" w:rsidRDefault="005C65A6" w:rsidP="005C65A6">
      <w:pPr>
        <w:spacing w:before="40" w:after="40" w:line="276" w:lineRule="auto"/>
        <w:ind w:firstLine="720"/>
        <w:rPr>
          <w:rFonts w:ascii="Arial" w:hAnsi="Arial" w:cs="Arial"/>
        </w:rPr>
      </w:pPr>
      <w:r w:rsidRPr="00432866">
        <w:rPr>
          <w:rFonts w:ascii="Arial" w:hAnsi="Arial" w:cs="Arial"/>
        </w:rPr>
        <w:t>Potential for reputational impact due to the nature and content of the report.</w:t>
      </w:r>
    </w:p>
    <w:p w:rsidR="005C65A6" w:rsidRPr="00432866" w:rsidRDefault="005C65A6" w:rsidP="005C65A6">
      <w:pPr>
        <w:pStyle w:val="ListParagraph"/>
        <w:rPr>
          <w:rFonts w:ascii="Arial" w:hAnsi="Arial" w:cs="Arial"/>
        </w:rPr>
      </w:pPr>
    </w:p>
    <w:p w:rsidR="005C65A6" w:rsidRPr="00432866" w:rsidRDefault="005C65A6" w:rsidP="005C65A6">
      <w:pPr>
        <w:pStyle w:val="Heading3"/>
        <w:numPr>
          <w:ilvl w:val="2"/>
          <w:numId w:val="5"/>
        </w:numPr>
        <w:rPr>
          <w:rFonts w:ascii="Arial" w:eastAsia="Times New Roman" w:hAnsi="Arial" w:cs="Arial"/>
          <w:b/>
          <w:color w:val="auto"/>
        </w:rPr>
      </w:pPr>
      <w:r w:rsidRPr="00432866">
        <w:rPr>
          <w:rFonts w:ascii="Arial" w:eastAsia="Times New Roman" w:hAnsi="Arial" w:cs="Arial"/>
          <w:b/>
          <w:color w:val="auto"/>
        </w:rPr>
        <w:t>Communication, involvement, engagement and consultation</w:t>
      </w:r>
    </w:p>
    <w:p w:rsidR="005C65A6" w:rsidRPr="00432866" w:rsidRDefault="005C65A6" w:rsidP="005C65A6">
      <w:pPr>
        <w:pStyle w:val="ListParagraph"/>
        <w:rPr>
          <w:rFonts w:ascii="Arial" w:eastAsia="Calibri" w:hAnsi="Arial" w:cs="Arial"/>
        </w:rPr>
      </w:pPr>
    </w:p>
    <w:p w:rsidR="005C65A6" w:rsidRPr="00432866" w:rsidRDefault="005C65A6" w:rsidP="005C65A6">
      <w:pPr>
        <w:spacing w:before="40" w:after="40" w:line="276" w:lineRule="auto"/>
        <w:ind w:left="720"/>
        <w:rPr>
          <w:rFonts w:ascii="Arial" w:hAnsi="Arial" w:cs="Arial"/>
        </w:rPr>
      </w:pPr>
      <w:r w:rsidRPr="00432866">
        <w:rPr>
          <w:rFonts w:ascii="Arial" w:hAnsi="Arial" w:cs="Arial"/>
        </w:rPr>
        <w:t>The Board has carried out its duties to involve and engage external stakeholders where appropriate:</w:t>
      </w:r>
    </w:p>
    <w:p w:rsidR="005C65A6" w:rsidRPr="00432866" w:rsidRDefault="005C65A6" w:rsidP="005C65A6">
      <w:pPr>
        <w:pStyle w:val="ListParagraph"/>
        <w:rPr>
          <w:rFonts w:ascii="Arial" w:hAnsi="Arial" w:cs="Arial"/>
        </w:rPr>
      </w:pPr>
    </w:p>
    <w:p w:rsidR="005C65A6" w:rsidRPr="00432866" w:rsidRDefault="005C65A6" w:rsidP="005C65A6">
      <w:pPr>
        <w:ind w:firstLine="720"/>
        <w:rPr>
          <w:rFonts w:ascii="Arial" w:hAnsi="Arial" w:cs="Arial"/>
        </w:rPr>
      </w:pPr>
      <w:r w:rsidRPr="00432866">
        <w:rPr>
          <w:rFonts w:ascii="Arial" w:hAnsi="Arial" w:cs="Arial"/>
        </w:rPr>
        <w:t>State how his has been carried out and note any meetings that have taken place.</w:t>
      </w:r>
    </w:p>
    <w:p w:rsidR="005C65A6" w:rsidRPr="00432866" w:rsidRDefault="005C65A6" w:rsidP="005C65A6">
      <w:pPr>
        <w:pStyle w:val="ListParagraph"/>
        <w:rPr>
          <w:rFonts w:ascii="Arial" w:hAnsi="Arial" w:cs="Arial"/>
        </w:rPr>
      </w:pPr>
    </w:p>
    <w:p w:rsidR="005C65A6" w:rsidRDefault="005C65A6" w:rsidP="005C65A6">
      <w:pPr>
        <w:pStyle w:val="ListParagraph"/>
        <w:numPr>
          <w:ilvl w:val="0"/>
          <w:numId w:val="6"/>
        </w:numPr>
        <w:spacing w:before="40" w:after="40" w:line="276" w:lineRule="auto"/>
        <w:rPr>
          <w:rFonts w:ascii="Arial" w:hAnsi="Arial" w:cs="Arial"/>
        </w:rPr>
      </w:pPr>
      <w:r w:rsidRPr="00432866">
        <w:rPr>
          <w:rFonts w:ascii="Arial" w:hAnsi="Arial" w:cs="Arial"/>
        </w:rPr>
        <w:t xml:space="preserve">Service Clinical Governance Groups, </w:t>
      </w:r>
      <w:r w:rsidR="00620B59">
        <w:rPr>
          <w:rFonts w:ascii="Arial" w:hAnsi="Arial" w:cs="Arial"/>
        </w:rPr>
        <w:t xml:space="preserve">July – Sept </w:t>
      </w:r>
      <w:r w:rsidR="00AA6EB8">
        <w:rPr>
          <w:rFonts w:ascii="Arial" w:hAnsi="Arial" w:cs="Arial"/>
        </w:rPr>
        <w:t>2025</w:t>
      </w:r>
    </w:p>
    <w:p w:rsidR="005C65A6" w:rsidRPr="00432866" w:rsidRDefault="005C65A6" w:rsidP="005C65A6">
      <w:pPr>
        <w:spacing w:before="40" w:after="40" w:line="276" w:lineRule="auto"/>
        <w:rPr>
          <w:rFonts w:ascii="Arial" w:hAnsi="Arial" w:cs="Arial"/>
        </w:rPr>
      </w:pPr>
    </w:p>
    <w:p w:rsidR="005C65A6" w:rsidRPr="00432866" w:rsidRDefault="005C65A6" w:rsidP="005C65A6">
      <w:pPr>
        <w:pStyle w:val="Heading3"/>
        <w:numPr>
          <w:ilvl w:val="2"/>
          <w:numId w:val="5"/>
        </w:numPr>
        <w:rPr>
          <w:rFonts w:ascii="Arial" w:hAnsi="Arial" w:cs="Arial"/>
          <w:b/>
          <w:color w:val="auto"/>
        </w:rPr>
      </w:pPr>
      <w:r w:rsidRPr="00432866">
        <w:rPr>
          <w:rFonts w:ascii="Arial" w:hAnsi="Arial" w:cs="Arial"/>
          <w:b/>
          <w:color w:val="auto"/>
        </w:rPr>
        <w:t>Route to the Meeting</w:t>
      </w:r>
    </w:p>
    <w:p w:rsidR="005C65A6" w:rsidRPr="00432866" w:rsidRDefault="005C65A6" w:rsidP="005C65A6">
      <w:pPr>
        <w:rPr>
          <w:rFonts w:ascii="Arial" w:hAnsi="Arial" w:cs="Arial"/>
        </w:rPr>
      </w:pPr>
    </w:p>
    <w:p w:rsidR="005C65A6" w:rsidRPr="00432866" w:rsidRDefault="005C65A6" w:rsidP="005C65A6">
      <w:pPr>
        <w:spacing w:before="40" w:after="40" w:line="276" w:lineRule="auto"/>
        <w:ind w:left="720"/>
        <w:rPr>
          <w:rFonts w:ascii="Arial" w:hAnsi="Arial" w:cs="Arial"/>
        </w:rPr>
      </w:pPr>
      <w:r w:rsidRPr="00432866">
        <w:rPr>
          <w:rFonts w:ascii="Arial" w:hAnsi="Arial" w:cs="Arial"/>
        </w:rPr>
        <w:t>This has been previously considered by the following groups as part of its development. The groups have either supported the content, or their feedback has informed the development of the content presented in this report.</w:t>
      </w:r>
    </w:p>
    <w:p w:rsidR="005C65A6" w:rsidRPr="00432866" w:rsidRDefault="005C65A6" w:rsidP="005C65A6">
      <w:pPr>
        <w:pStyle w:val="ListParagraph"/>
        <w:spacing w:before="40" w:after="40" w:line="276" w:lineRule="auto"/>
        <w:ind w:left="394"/>
        <w:rPr>
          <w:rFonts w:ascii="Arial" w:hAnsi="Arial" w:cs="Arial"/>
        </w:rPr>
      </w:pPr>
    </w:p>
    <w:p w:rsidR="005C65A6" w:rsidRDefault="005C65A6" w:rsidP="005C65A6">
      <w:pPr>
        <w:pStyle w:val="ListParagraph"/>
        <w:numPr>
          <w:ilvl w:val="0"/>
          <w:numId w:val="6"/>
        </w:numPr>
        <w:spacing w:before="40" w:after="40" w:line="276" w:lineRule="auto"/>
        <w:rPr>
          <w:rFonts w:ascii="Arial" w:hAnsi="Arial" w:cs="Arial"/>
        </w:rPr>
      </w:pPr>
      <w:r w:rsidRPr="00432866">
        <w:rPr>
          <w:rFonts w:ascii="Arial" w:hAnsi="Arial" w:cs="Arial"/>
        </w:rPr>
        <w:t>Service Clinical Go</w:t>
      </w:r>
      <w:r w:rsidR="00AA6EB8">
        <w:rPr>
          <w:rFonts w:ascii="Arial" w:hAnsi="Arial" w:cs="Arial"/>
        </w:rPr>
        <w:t xml:space="preserve">vernance Groups, </w:t>
      </w:r>
      <w:r w:rsidR="00620B59">
        <w:rPr>
          <w:rFonts w:ascii="Arial" w:hAnsi="Arial" w:cs="Arial"/>
        </w:rPr>
        <w:t>July – Sept 2025</w:t>
      </w:r>
    </w:p>
    <w:p w:rsidR="00D14574" w:rsidRDefault="00D14574" w:rsidP="005C65A6">
      <w:pPr>
        <w:pStyle w:val="ListParagraph"/>
        <w:numPr>
          <w:ilvl w:val="0"/>
          <w:numId w:val="6"/>
        </w:numPr>
        <w:spacing w:before="40" w:after="40" w:line="276" w:lineRule="auto"/>
        <w:rPr>
          <w:rFonts w:ascii="Arial" w:hAnsi="Arial" w:cs="Arial"/>
        </w:rPr>
      </w:pPr>
      <w:r>
        <w:rPr>
          <w:rFonts w:ascii="Arial" w:hAnsi="Arial" w:cs="Arial"/>
        </w:rPr>
        <w:t>Staff Governance Group September 2025.</w:t>
      </w:r>
    </w:p>
    <w:p w:rsidR="00197E4C" w:rsidRDefault="00197E4C" w:rsidP="005C65A6">
      <w:pPr>
        <w:pStyle w:val="ListParagraph"/>
        <w:numPr>
          <w:ilvl w:val="0"/>
          <w:numId w:val="6"/>
        </w:numPr>
        <w:spacing w:before="40" w:after="40" w:line="276" w:lineRule="auto"/>
        <w:rPr>
          <w:rFonts w:ascii="Arial" w:hAnsi="Arial" w:cs="Arial"/>
        </w:rPr>
      </w:pPr>
      <w:r>
        <w:rPr>
          <w:rFonts w:ascii="Arial" w:hAnsi="Arial" w:cs="Arial"/>
        </w:rPr>
        <w:t>Clinical Governance Risk Management Group October 2025</w:t>
      </w:r>
    </w:p>
    <w:p w:rsidR="005C65A6" w:rsidRPr="00432866" w:rsidRDefault="005C65A6" w:rsidP="005C65A6">
      <w:pPr>
        <w:pStyle w:val="ListParagraph"/>
        <w:spacing w:before="40" w:after="40" w:line="276" w:lineRule="auto"/>
        <w:ind w:left="1080"/>
        <w:rPr>
          <w:rFonts w:ascii="Arial" w:hAnsi="Arial" w:cs="Arial"/>
        </w:rPr>
      </w:pPr>
    </w:p>
    <w:p w:rsidR="005C65A6" w:rsidRPr="00FC18AA" w:rsidRDefault="005C65A6" w:rsidP="005C65A6">
      <w:pPr>
        <w:pStyle w:val="Heading3"/>
        <w:rPr>
          <w:rFonts w:ascii="Arial" w:hAnsi="Arial" w:cs="Arial"/>
          <w:color w:val="auto"/>
          <w:sz w:val="28"/>
        </w:rPr>
      </w:pPr>
      <w:r w:rsidRPr="00FC18AA">
        <w:rPr>
          <w:rFonts w:ascii="Arial" w:hAnsi="Arial" w:cs="Arial"/>
          <w:b/>
          <w:color w:val="auto"/>
          <w:sz w:val="28"/>
        </w:rPr>
        <w:t>2.4</w:t>
      </w:r>
      <w:r w:rsidRPr="00FC18AA">
        <w:rPr>
          <w:rFonts w:ascii="Arial" w:hAnsi="Arial" w:cs="Arial"/>
          <w:b/>
          <w:color w:val="auto"/>
          <w:sz w:val="28"/>
        </w:rPr>
        <w:tab/>
        <w:t>Recommendation</w:t>
      </w:r>
    </w:p>
    <w:p w:rsidR="005C65A6" w:rsidRPr="00432866" w:rsidRDefault="005C65A6" w:rsidP="005C65A6">
      <w:pPr>
        <w:rPr>
          <w:rFonts w:ascii="Arial" w:hAnsi="Arial" w:cs="Arial"/>
        </w:rPr>
      </w:pPr>
      <w:bookmarkStart w:id="0" w:name="_GoBack"/>
      <w:bookmarkEnd w:id="0"/>
    </w:p>
    <w:p w:rsidR="005C65A6" w:rsidRPr="00432866" w:rsidRDefault="00B0706F" w:rsidP="005C65A6">
      <w:pPr>
        <w:numPr>
          <w:ilvl w:val="0"/>
          <w:numId w:val="7"/>
        </w:numPr>
        <w:spacing w:before="40" w:after="40" w:line="276" w:lineRule="auto"/>
        <w:ind w:hanging="252"/>
        <w:rPr>
          <w:rFonts w:ascii="Arial" w:hAnsi="Arial" w:cs="Arial"/>
        </w:rPr>
      </w:pPr>
      <w:r>
        <w:rPr>
          <w:rFonts w:ascii="Arial" w:hAnsi="Arial" w:cs="Arial"/>
          <w:b/>
        </w:rPr>
        <w:t>Decision</w:t>
      </w:r>
      <w:r w:rsidR="005C65A6" w:rsidRPr="00432866">
        <w:rPr>
          <w:rFonts w:ascii="Arial" w:hAnsi="Arial" w:cs="Arial"/>
        </w:rPr>
        <w:t>.</w:t>
      </w:r>
    </w:p>
    <w:p w:rsidR="005C65A6" w:rsidRPr="00432866" w:rsidRDefault="005C65A6" w:rsidP="005C65A6">
      <w:pPr>
        <w:spacing w:before="40" w:after="40" w:line="276" w:lineRule="auto"/>
        <w:rPr>
          <w:rFonts w:ascii="Arial" w:hAnsi="Arial" w:cs="Arial"/>
        </w:rPr>
      </w:pPr>
    </w:p>
    <w:p w:rsidR="005C65A6" w:rsidRPr="00FC18AA" w:rsidRDefault="005C65A6" w:rsidP="005C65A6">
      <w:pPr>
        <w:pStyle w:val="Heading3"/>
        <w:rPr>
          <w:rFonts w:ascii="Arial" w:hAnsi="Arial" w:cs="Arial"/>
          <w:b/>
          <w:color w:val="auto"/>
          <w:sz w:val="28"/>
        </w:rPr>
      </w:pPr>
      <w:r w:rsidRPr="00FC18AA">
        <w:rPr>
          <w:rFonts w:ascii="Arial" w:hAnsi="Arial" w:cs="Arial"/>
          <w:b/>
          <w:color w:val="auto"/>
          <w:sz w:val="28"/>
        </w:rPr>
        <w:t>3</w:t>
      </w:r>
      <w:r w:rsidRPr="00FC18AA">
        <w:rPr>
          <w:rFonts w:ascii="Arial" w:hAnsi="Arial" w:cs="Arial"/>
          <w:b/>
          <w:color w:val="auto"/>
          <w:sz w:val="28"/>
        </w:rPr>
        <w:tab/>
        <w:t>List of appendices</w:t>
      </w:r>
    </w:p>
    <w:p w:rsidR="005C65A6" w:rsidRPr="00432866" w:rsidRDefault="005C65A6" w:rsidP="005C65A6">
      <w:pPr>
        <w:spacing w:before="40" w:after="40" w:line="276" w:lineRule="auto"/>
        <w:rPr>
          <w:rFonts w:ascii="Arial" w:hAnsi="Arial" w:cs="Arial"/>
        </w:rPr>
      </w:pPr>
    </w:p>
    <w:p w:rsidR="005C65A6" w:rsidRPr="00432866" w:rsidRDefault="005C65A6" w:rsidP="005C65A6">
      <w:pPr>
        <w:spacing w:before="40" w:after="40" w:line="276" w:lineRule="auto"/>
        <w:ind w:firstLine="525"/>
        <w:rPr>
          <w:rFonts w:ascii="Arial" w:hAnsi="Arial" w:cs="Arial"/>
        </w:rPr>
      </w:pPr>
      <w:r w:rsidRPr="00432866">
        <w:rPr>
          <w:rFonts w:ascii="Arial" w:hAnsi="Arial" w:cs="Arial"/>
        </w:rPr>
        <w:t>The following appendices are included with this report:</w:t>
      </w:r>
    </w:p>
    <w:p w:rsidR="005C65A6" w:rsidRPr="00432866" w:rsidRDefault="005C65A6" w:rsidP="005C65A6">
      <w:pPr>
        <w:pStyle w:val="ListParagraph"/>
        <w:spacing w:before="40" w:after="40" w:line="276" w:lineRule="auto"/>
        <w:ind w:left="1253"/>
        <w:rPr>
          <w:rFonts w:ascii="Arial" w:hAnsi="Arial" w:cs="Arial"/>
        </w:rPr>
      </w:pPr>
    </w:p>
    <w:p w:rsidR="005C65A6" w:rsidRPr="00432866" w:rsidRDefault="005C65A6" w:rsidP="005C65A6">
      <w:pPr>
        <w:pStyle w:val="ListParagraph"/>
        <w:numPr>
          <w:ilvl w:val="0"/>
          <w:numId w:val="8"/>
        </w:numPr>
        <w:spacing w:before="40" w:after="40" w:line="276" w:lineRule="auto"/>
        <w:ind w:left="993" w:hanging="284"/>
        <w:rPr>
          <w:rFonts w:ascii="Arial" w:hAnsi="Arial" w:cs="Arial"/>
        </w:rPr>
      </w:pPr>
      <w:r w:rsidRPr="00432866">
        <w:rPr>
          <w:rFonts w:ascii="Arial" w:hAnsi="Arial" w:cs="Arial"/>
        </w:rPr>
        <w:t>Appendix No 1, Quarter 1 Feedback Report</w:t>
      </w:r>
    </w:p>
    <w:p w:rsidR="005C65A6" w:rsidRPr="00432866" w:rsidRDefault="005C65A6" w:rsidP="005C65A6">
      <w:pPr>
        <w:spacing w:line="276" w:lineRule="auto"/>
        <w:rPr>
          <w:rFonts w:ascii="Arial" w:hAnsi="Arial" w:cs="Arial"/>
        </w:rPr>
        <w:sectPr w:rsidR="005C65A6" w:rsidRPr="00432866">
          <w:headerReference w:type="default" r:id="rId11"/>
          <w:footerReference w:type="default" r:id="rId12"/>
          <w:pgSz w:w="11906" w:h="16838"/>
          <w:pgMar w:top="827" w:right="849" w:bottom="851" w:left="993" w:header="570" w:footer="638" w:gutter="0"/>
          <w:cols w:space="720"/>
        </w:sectPr>
      </w:pPr>
    </w:p>
    <w:p w:rsidR="005C65A6" w:rsidRPr="00432866" w:rsidRDefault="005C65A6" w:rsidP="005C65A6">
      <w:pPr>
        <w:rPr>
          <w:rFonts w:ascii="Arial" w:hAnsi="Arial" w:cs="Arial"/>
        </w:rPr>
      </w:pPr>
    </w:p>
    <w:p w:rsidR="005C65A6" w:rsidRPr="00432866" w:rsidRDefault="005C65A6" w:rsidP="005C65A6">
      <w:pPr>
        <w:tabs>
          <w:tab w:val="left" w:pos="5310"/>
        </w:tabs>
        <w:outlineLvl w:val="0"/>
        <w:rPr>
          <w:rFonts w:ascii="Arial" w:hAnsi="Arial" w:cs="Arial"/>
        </w:rPr>
      </w:pPr>
      <w:r w:rsidRPr="00432866">
        <w:rPr>
          <w:noProof/>
        </w:rPr>
        <mc:AlternateContent>
          <mc:Choice Requires="wps">
            <w:drawing>
              <wp:anchor distT="0" distB="0" distL="114300" distR="114300" simplePos="0" relativeHeight="251657216" behindDoc="0" locked="0" layoutInCell="1" allowOverlap="1" wp14:anchorId="3C91DC34" wp14:editId="290F2C73">
                <wp:simplePos x="0" y="0"/>
                <wp:positionH relativeFrom="margin">
                  <wp:align>left</wp:align>
                </wp:positionH>
                <wp:positionV relativeFrom="paragraph">
                  <wp:posOffset>98376</wp:posOffset>
                </wp:positionV>
                <wp:extent cx="5795963" cy="518160"/>
                <wp:effectExtent l="0" t="0" r="1460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963" cy="518160"/>
                        </a:xfrm>
                        <a:prstGeom prst="rect">
                          <a:avLst/>
                        </a:prstGeom>
                        <a:solidFill>
                          <a:srgbClr val="FFFFFF"/>
                        </a:solidFill>
                        <a:ln w="9525">
                          <a:solidFill>
                            <a:srgbClr val="000000"/>
                          </a:solidFill>
                          <a:miter lim="800000"/>
                          <a:headEnd/>
                          <a:tailEnd/>
                        </a:ln>
                      </wps:spPr>
                      <wps:txbx>
                        <w:txbxContent>
                          <w:p w:rsidR="00AF5AA7" w:rsidRDefault="00AF5AA7" w:rsidP="005C65A6">
                            <w:pPr>
                              <w:jc w:val="center"/>
                              <w:outlineLvl w:val="0"/>
                              <w:rPr>
                                <w:rFonts w:ascii="Arial" w:hAnsi="Arial"/>
                                <w:b/>
                                <w:sz w:val="28"/>
                                <w:szCs w:val="28"/>
                              </w:rPr>
                            </w:pPr>
                            <w:r>
                              <w:rPr>
                                <w:rFonts w:ascii="Arial" w:hAnsi="Arial"/>
                                <w:b/>
                                <w:sz w:val="28"/>
                                <w:szCs w:val="28"/>
                              </w:rPr>
                              <w:t>Complaints Report</w:t>
                            </w:r>
                          </w:p>
                          <w:p w:rsidR="00AF5AA7" w:rsidRDefault="00045A6B" w:rsidP="005C65A6">
                            <w:pPr>
                              <w:jc w:val="center"/>
                              <w:outlineLvl w:val="0"/>
                              <w:rPr>
                                <w:rFonts w:ascii="Arial" w:hAnsi="Arial" w:cs="Arial"/>
                                <w:b/>
                                <w:sz w:val="22"/>
                                <w:szCs w:val="22"/>
                              </w:rPr>
                            </w:pPr>
                            <w:r>
                              <w:rPr>
                                <w:rFonts w:ascii="Arial" w:hAnsi="Arial"/>
                                <w:sz w:val="28"/>
                                <w:szCs w:val="28"/>
                              </w:rPr>
                              <w:t>Quarter 2</w:t>
                            </w:r>
                            <w:r w:rsidR="00AF5AA7">
                              <w:rPr>
                                <w:rFonts w:ascii="Arial" w:hAnsi="Arial"/>
                                <w:sz w:val="28"/>
                                <w:szCs w:val="28"/>
                              </w:rPr>
                              <w:t xml:space="preserve"> (</w:t>
                            </w:r>
                            <w:r>
                              <w:rPr>
                                <w:rFonts w:ascii="Arial" w:hAnsi="Arial"/>
                                <w:sz w:val="28"/>
                                <w:szCs w:val="28"/>
                              </w:rPr>
                              <w:t>July</w:t>
                            </w:r>
                            <w:r w:rsidR="00AF5AA7">
                              <w:rPr>
                                <w:rFonts w:ascii="Arial" w:hAnsi="Arial"/>
                                <w:sz w:val="28"/>
                                <w:szCs w:val="28"/>
                              </w:rPr>
                              <w:t xml:space="preserve"> 2025– </w:t>
                            </w:r>
                            <w:r>
                              <w:rPr>
                                <w:rFonts w:ascii="Arial" w:hAnsi="Arial"/>
                                <w:sz w:val="28"/>
                                <w:szCs w:val="28"/>
                              </w:rPr>
                              <w:t>Sept</w:t>
                            </w:r>
                            <w:r w:rsidR="00AF5AA7">
                              <w:rPr>
                                <w:rFonts w:ascii="Arial" w:hAnsi="Arial"/>
                                <w:sz w:val="28"/>
                                <w:szCs w:val="28"/>
                              </w:rPr>
                              <w:t xml:space="preserve"> 2025)</w:t>
                            </w:r>
                          </w:p>
                          <w:p w:rsidR="00AF5AA7" w:rsidRDefault="00AF5AA7" w:rsidP="005C65A6">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1DC34" id="_x0000_t202" coordsize="21600,21600" o:spt="202" path="m,l,21600r21600,l21600,xe">
                <v:stroke joinstyle="miter"/>
                <v:path gradientshapeok="t" o:connecttype="rect"/>
              </v:shapetype>
              <v:shape id="Text Box 4" o:spid="_x0000_s1026" type="#_x0000_t202" style="position:absolute;margin-left:0;margin-top:7.75pt;width:456.4pt;height:4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">
                <v:textbox>
                  <w:txbxContent>
                    <w:p w:rsidR="00AF5AA7" w:rsidRDefault="00AF5AA7" w:rsidP="005C65A6">
                      <w:pPr>
                        <w:jc w:val="center"/>
                        <w:outlineLvl w:val="0"/>
                        <w:rPr>
                          <w:rFonts w:ascii="Arial" w:hAnsi="Arial"/>
                          <w:b/>
                          <w:sz w:val="28"/>
                          <w:szCs w:val="28"/>
                        </w:rPr>
                      </w:pPr>
                      <w:r>
                        <w:rPr>
                          <w:rFonts w:ascii="Arial" w:hAnsi="Arial"/>
                          <w:b/>
                          <w:sz w:val="28"/>
                          <w:szCs w:val="28"/>
                        </w:rPr>
                        <w:t>Complaints Report</w:t>
                      </w:r>
                    </w:p>
                    <w:p w:rsidR="00AF5AA7" w:rsidRDefault="00045A6B" w:rsidP="005C65A6">
                      <w:pPr>
                        <w:jc w:val="center"/>
                        <w:outlineLvl w:val="0"/>
                        <w:rPr>
                          <w:rFonts w:ascii="Arial" w:hAnsi="Arial" w:cs="Arial"/>
                          <w:b/>
                          <w:sz w:val="22"/>
                          <w:szCs w:val="22"/>
                        </w:rPr>
                      </w:pPr>
                      <w:r>
                        <w:rPr>
                          <w:rFonts w:ascii="Arial" w:hAnsi="Arial"/>
                          <w:sz w:val="28"/>
                          <w:szCs w:val="28"/>
                        </w:rPr>
                        <w:t>Quarter 2</w:t>
                      </w:r>
                      <w:r w:rsidR="00AF5AA7">
                        <w:rPr>
                          <w:rFonts w:ascii="Arial" w:hAnsi="Arial"/>
                          <w:sz w:val="28"/>
                          <w:szCs w:val="28"/>
                        </w:rPr>
                        <w:t xml:space="preserve"> (</w:t>
                      </w:r>
                      <w:r>
                        <w:rPr>
                          <w:rFonts w:ascii="Arial" w:hAnsi="Arial"/>
                          <w:sz w:val="28"/>
                          <w:szCs w:val="28"/>
                        </w:rPr>
                        <w:t>July</w:t>
                      </w:r>
                      <w:r w:rsidR="00AF5AA7">
                        <w:rPr>
                          <w:rFonts w:ascii="Arial" w:hAnsi="Arial"/>
                          <w:sz w:val="28"/>
                          <w:szCs w:val="28"/>
                        </w:rPr>
                        <w:t xml:space="preserve"> 2025– </w:t>
                      </w:r>
                      <w:r>
                        <w:rPr>
                          <w:rFonts w:ascii="Arial" w:hAnsi="Arial"/>
                          <w:sz w:val="28"/>
                          <w:szCs w:val="28"/>
                        </w:rPr>
                        <w:t>Sept</w:t>
                      </w:r>
                      <w:r w:rsidR="00AF5AA7">
                        <w:rPr>
                          <w:rFonts w:ascii="Arial" w:hAnsi="Arial"/>
                          <w:sz w:val="28"/>
                          <w:szCs w:val="28"/>
                        </w:rPr>
                        <w:t xml:space="preserve"> 2025)</w:t>
                      </w:r>
                    </w:p>
                    <w:p w:rsidR="00AF5AA7" w:rsidRDefault="00AF5AA7" w:rsidP="005C65A6">
                      <w:pPr>
                        <w:rPr>
                          <w:rFonts w:ascii="Arial" w:hAnsi="Arial" w:cs="Arial"/>
                          <w:b/>
                          <w:sz w:val="22"/>
                          <w:szCs w:val="22"/>
                        </w:rPr>
                      </w:pPr>
                    </w:p>
                  </w:txbxContent>
                </v:textbox>
                <w10:wrap anchorx="margin"/>
              </v:shape>
            </w:pict>
          </mc:Fallback>
        </mc:AlternateContent>
      </w:r>
    </w:p>
    <w:p w:rsidR="005C65A6" w:rsidRPr="00432866" w:rsidRDefault="005C65A6" w:rsidP="005C65A6">
      <w:pPr>
        <w:rPr>
          <w:rFonts w:ascii="Arial" w:hAnsi="Arial" w:cs="Arial"/>
        </w:rPr>
      </w:pPr>
    </w:p>
    <w:p w:rsidR="005C65A6" w:rsidRPr="00432866" w:rsidRDefault="005C65A6" w:rsidP="005C65A6">
      <w:pPr>
        <w:rPr>
          <w:rFonts w:ascii="Arial" w:hAnsi="Arial" w:cs="Arial"/>
        </w:rPr>
      </w:pPr>
    </w:p>
    <w:p w:rsidR="005C65A6" w:rsidRPr="00432866" w:rsidRDefault="005C65A6" w:rsidP="005C65A6">
      <w:pPr>
        <w:rPr>
          <w:rFonts w:ascii="Arial" w:hAnsi="Arial" w:cs="Arial"/>
        </w:rPr>
      </w:pPr>
    </w:p>
    <w:p w:rsidR="005C65A6" w:rsidRPr="00432866" w:rsidRDefault="005C65A6" w:rsidP="005C65A6">
      <w:pPr>
        <w:pStyle w:val="Subtitle"/>
        <w:ind w:left="390"/>
        <w:jc w:val="left"/>
        <w:rPr>
          <w:color w:val="auto"/>
          <w:u w:val="single"/>
        </w:rPr>
      </w:pPr>
    </w:p>
    <w:p w:rsidR="005C65A6" w:rsidRPr="00432866" w:rsidRDefault="005C65A6" w:rsidP="005C65A6">
      <w:pPr>
        <w:pStyle w:val="Subtitle"/>
        <w:numPr>
          <w:ilvl w:val="0"/>
          <w:numId w:val="9"/>
        </w:numPr>
        <w:jc w:val="left"/>
        <w:rPr>
          <w:color w:val="auto"/>
          <w:u w:val="single"/>
        </w:rPr>
      </w:pPr>
      <w:r w:rsidRPr="00432866">
        <w:rPr>
          <w:color w:val="auto"/>
          <w:u w:val="single"/>
        </w:rPr>
        <w:t>Overview</w:t>
      </w:r>
    </w:p>
    <w:p w:rsidR="005C65A6" w:rsidRPr="00432866" w:rsidRDefault="005C65A6" w:rsidP="005C65A6">
      <w:pPr>
        <w:pStyle w:val="Subtitle"/>
        <w:ind w:left="360"/>
        <w:jc w:val="left"/>
        <w:rPr>
          <w:color w:val="auto"/>
          <w:u w:val="single"/>
        </w:rPr>
      </w:pPr>
    </w:p>
    <w:p w:rsidR="005C65A6" w:rsidRPr="00432866" w:rsidRDefault="005C65A6" w:rsidP="005C65A6">
      <w:pPr>
        <w:tabs>
          <w:tab w:val="left" w:pos="5310"/>
        </w:tabs>
        <w:outlineLvl w:val="0"/>
        <w:rPr>
          <w:rFonts w:ascii="Arial" w:hAnsi="Arial" w:cs="Arial"/>
        </w:rPr>
      </w:pPr>
      <w:r w:rsidRPr="00432866">
        <w:rPr>
          <w:rFonts w:ascii="Arial" w:hAnsi="Arial" w:cs="Arial"/>
        </w:rPr>
        <w:t>The number of formal complaints (</w:t>
      </w:r>
      <w:r w:rsidR="001D1AEB" w:rsidRPr="00056DA3">
        <w:rPr>
          <w:rFonts w:ascii="Arial" w:hAnsi="Arial" w:cs="Arial"/>
        </w:rPr>
        <w:t>15</w:t>
      </w:r>
      <w:r w:rsidRPr="00056DA3">
        <w:rPr>
          <w:rFonts w:ascii="Arial" w:hAnsi="Arial" w:cs="Arial"/>
        </w:rPr>
        <w:t xml:space="preserve"> stage 1 and </w:t>
      </w:r>
      <w:r w:rsidR="001D1AEB" w:rsidRPr="00056DA3">
        <w:rPr>
          <w:rFonts w:ascii="Arial" w:hAnsi="Arial" w:cs="Arial"/>
        </w:rPr>
        <w:t>9</w:t>
      </w:r>
      <w:r w:rsidRPr="00056DA3">
        <w:rPr>
          <w:rFonts w:ascii="Arial" w:hAnsi="Arial" w:cs="Arial"/>
        </w:rPr>
        <w:t xml:space="preserve"> stage 2)</w:t>
      </w:r>
      <w:r w:rsidRPr="00432866">
        <w:rPr>
          <w:rFonts w:ascii="Arial" w:hAnsi="Arial" w:cs="Arial"/>
        </w:rPr>
        <w:t xml:space="preserve"> </w:t>
      </w:r>
      <w:r w:rsidR="00693B70">
        <w:rPr>
          <w:rFonts w:ascii="Arial" w:hAnsi="Arial" w:cs="Arial"/>
        </w:rPr>
        <w:t>this is in line</w:t>
      </w:r>
      <w:r w:rsidRPr="00432866">
        <w:rPr>
          <w:rFonts w:ascii="Arial" w:hAnsi="Arial" w:cs="Arial"/>
        </w:rPr>
        <w:t xml:space="preserve"> </w:t>
      </w:r>
      <w:r w:rsidR="00197E4C">
        <w:rPr>
          <w:rFonts w:ascii="Arial" w:hAnsi="Arial" w:cs="Arial"/>
        </w:rPr>
        <w:t>with 2024-25</w:t>
      </w:r>
      <w:r w:rsidR="005E04EA">
        <w:rPr>
          <w:rFonts w:ascii="Arial" w:hAnsi="Arial" w:cs="Arial"/>
        </w:rPr>
        <w:t xml:space="preserve"> Q4 </w:t>
      </w:r>
      <w:r w:rsidR="00771CDD">
        <w:rPr>
          <w:rFonts w:ascii="Arial" w:hAnsi="Arial" w:cs="Arial"/>
        </w:rPr>
        <w:t>(2</w:t>
      </w:r>
      <w:r w:rsidR="005E04EA">
        <w:rPr>
          <w:rFonts w:ascii="Arial" w:hAnsi="Arial" w:cs="Arial"/>
        </w:rPr>
        <w:t>8) and Q3 (26</w:t>
      </w:r>
      <w:r w:rsidR="00771CDD">
        <w:rPr>
          <w:rFonts w:ascii="Arial" w:hAnsi="Arial" w:cs="Arial"/>
        </w:rPr>
        <w:t>)</w:t>
      </w:r>
      <w:r w:rsidR="00197E4C">
        <w:rPr>
          <w:rFonts w:ascii="Arial" w:hAnsi="Arial" w:cs="Arial"/>
        </w:rPr>
        <w:t xml:space="preserve"> and reduced from Q1 (31)</w:t>
      </w:r>
      <w:r w:rsidR="00771CDD">
        <w:rPr>
          <w:rFonts w:ascii="Arial" w:hAnsi="Arial" w:cs="Arial"/>
        </w:rPr>
        <w:t xml:space="preserve">. </w:t>
      </w:r>
      <w:r w:rsidR="00197E4C">
        <w:rPr>
          <w:rFonts w:ascii="Arial" w:hAnsi="Arial" w:cs="Arial"/>
        </w:rPr>
        <w:t xml:space="preserve">At the time of writing, </w:t>
      </w:r>
      <w:r w:rsidR="003C7592" w:rsidRPr="00432866">
        <w:rPr>
          <w:rFonts w:ascii="Arial" w:hAnsi="Arial" w:cs="Arial"/>
        </w:rPr>
        <w:t>of the complaints</w:t>
      </w:r>
      <w:r w:rsidR="00197E4C">
        <w:rPr>
          <w:rFonts w:ascii="Arial" w:hAnsi="Arial" w:cs="Arial"/>
        </w:rPr>
        <w:t xml:space="preserve"> recorded in Q2,</w:t>
      </w:r>
      <w:r w:rsidRPr="00432866">
        <w:rPr>
          <w:rFonts w:ascii="Arial" w:hAnsi="Arial" w:cs="Arial"/>
        </w:rPr>
        <w:t xml:space="preserve"> </w:t>
      </w:r>
      <w:r w:rsidR="00620B59" w:rsidRPr="00620B59">
        <w:rPr>
          <w:rFonts w:ascii="Arial" w:hAnsi="Arial" w:cs="Arial"/>
        </w:rPr>
        <w:t>7</w:t>
      </w:r>
      <w:r w:rsidR="00197E4C">
        <w:rPr>
          <w:rFonts w:ascii="Arial" w:hAnsi="Arial" w:cs="Arial"/>
        </w:rPr>
        <w:t xml:space="preserve"> were </w:t>
      </w:r>
      <w:r w:rsidRPr="00620B59">
        <w:rPr>
          <w:rFonts w:ascii="Arial" w:hAnsi="Arial" w:cs="Arial"/>
        </w:rPr>
        <w:t xml:space="preserve">not upheld, </w:t>
      </w:r>
      <w:r w:rsidR="00620B59" w:rsidRPr="00620B59">
        <w:rPr>
          <w:rFonts w:ascii="Arial" w:hAnsi="Arial" w:cs="Arial"/>
        </w:rPr>
        <w:t>4</w:t>
      </w:r>
      <w:r w:rsidRPr="00620B59">
        <w:rPr>
          <w:rFonts w:ascii="Arial" w:hAnsi="Arial" w:cs="Arial"/>
        </w:rPr>
        <w:t xml:space="preserve"> fully upheld, </w:t>
      </w:r>
      <w:r w:rsidR="00AF5AA7" w:rsidRPr="00620B59">
        <w:rPr>
          <w:rFonts w:ascii="Arial" w:hAnsi="Arial" w:cs="Arial"/>
        </w:rPr>
        <w:t>5</w:t>
      </w:r>
      <w:r w:rsidRPr="00620B59">
        <w:rPr>
          <w:rFonts w:ascii="Arial" w:hAnsi="Arial" w:cs="Arial"/>
        </w:rPr>
        <w:t xml:space="preserve"> partially upheld, </w:t>
      </w:r>
      <w:r w:rsidR="00620B59" w:rsidRPr="00620B59">
        <w:rPr>
          <w:rFonts w:ascii="Arial" w:hAnsi="Arial" w:cs="Arial"/>
        </w:rPr>
        <w:t xml:space="preserve">1 rejected, </w:t>
      </w:r>
      <w:r w:rsidR="00620B59" w:rsidRPr="008C0833">
        <w:rPr>
          <w:rFonts w:ascii="Arial" w:hAnsi="Arial" w:cs="Arial"/>
        </w:rPr>
        <w:t>7</w:t>
      </w:r>
      <w:r w:rsidR="00600658" w:rsidRPr="008C0833">
        <w:rPr>
          <w:rFonts w:ascii="Arial" w:hAnsi="Arial" w:cs="Arial"/>
        </w:rPr>
        <w:t xml:space="preserve"> ongoing.</w:t>
      </w:r>
      <w:r w:rsidRPr="00432866">
        <w:rPr>
          <w:rFonts w:ascii="Arial" w:hAnsi="Arial" w:cs="Arial"/>
        </w:rPr>
        <w:t xml:space="preserve">  </w:t>
      </w:r>
    </w:p>
    <w:p w:rsidR="005C65A6" w:rsidRPr="00432866" w:rsidRDefault="005C65A6" w:rsidP="005C65A6">
      <w:pPr>
        <w:tabs>
          <w:tab w:val="left" w:pos="5310"/>
        </w:tabs>
        <w:outlineLvl w:val="0"/>
        <w:rPr>
          <w:rFonts w:ascii="Arial" w:hAnsi="Arial" w:cs="Arial"/>
        </w:rPr>
      </w:pPr>
    </w:p>
    <w:p w:rsidR="005C65A6" w:rsidRPr="00432866" w:rsidRDefault="005C65A6" w:rsidP="005C65A6">
      <w:pPr>
        <w:pStyle w:val="Subtitle"/>
        <w:jc w:val="left"/>
        <w:rPr>
          <w:color w:val="auto"/>
        </w:rPr>
      </w:pPr>
      <w:r w:rsidRPr="00432866">
        <w:rPr>
          <w:color w:val="auto"/>
        </w:rPr>
        <w:t xml:space="preserve">Table 1 – Complaints by Quarter </w:t>
      </w:r>
    </w:p>
    <w:p w:rsidR="005C65A6" w:rsidRPr="00432866" w:rsidRDefault="005C65A6" w:rsidP="005C65A6">
      <w:pPr>
        <w:tabs>
          <w:tab w:val="left" w:pos="5310"/>
        </w:tabs>
        <w:outlineLvl w:val="0"/>
        <w:rPr>
          <w:rFonts w:ascii="Arial" w:hAnsi="Arial" w:cs="Arial"/>
        </w:rPr>
      </w:pPr>
    </w:p>
    <w:tbl>
      <w:tblPr>
        <w:tblStyle w:val="TableGrid"/>
        <w:tblW w:w="0" w:type="auto"/>
        <w:jc w:val="center"/>
        <w:tblInd w:w="0" w:type="dxa"/>
        <w:tblLook w:val="04A0" w:firstRow="1" w:lastRow="0" w:firstColumn="1" w:lastColumn="0" w:noHBand="0" w:noVBand="1"/>
      </w:tblPr>
      <w:tblGrid>
        <w:gridCol w:w="1511"/>
        <w:gridCol w:w="1559"/>
        <w:gridCol w:w="1701"/>
        <w:gridCol w:w="1701"/>
      </w:tblGrid>
      <w:tr w:rsidR="00432866" w:rsidRPr="00432866" w:rsidTr="005C65A6">
        <w:trPr>
          <w:jc w:val="center"/>
        </w:trPr>
        <w:tc>
          <w:tcPr>
            <w:tcW w:w="1511" w:type="dxa"/>
            <w:tcBorders>
              <w:top w:val="single" w:sz="4" w:space="0" w:color="auto"/>
              <w:left w:val="single" w:sz="4" w:space="0" w:color="auto"/>
              <w:bottom w:val="single" w:sz="4" w:space="0" w:color="auto"/>
              <w:right w:val="single" w:sz="4" w:space="0" w:color="auto"/>
            </w:tcBorders>
            <w:hideMark/>
          </w:tcPr>
          <w:p w:rsidR="005C65A6" w:rsidRPr="00432866" w:rsidRDefault="005C65A6" w:rsidP="00C56EE9">
            <w:pPr>
              <w:tabs>
                <w:tab w:val="left" w:pos="5310"/>
              </w:tabs>
              <w:jc w:val="center"/>
              <w:outlineLvl w:val="0"/>
              <w:rPr>
                <w:rFonts w:ascii="Arial" w:hAnsi="Arial" w:cs="Arial"/>
                <w:b/>
              </w:rPr>
            </w:pPr>
            <w:r w:rsidRPr="00432866">
              <w:rPr>
                <w:rFonts w:ascii="Arial" w:hAnsi="Arial" w:cs="Arial"/>
                <w:b/>
              </w:rPr>
              <w:t xml:space="preserve">Quarter </w:t>
            </w:r>
          </w:p>
        </w:tc>
        <w:tc>
          <w:tcPr>
            <w:tcW w:w="1559" w:type="dxa"/>
            <w:tcBorders>
              <w:top w:val="single" w:sz="4" w:space="0" w:color="auto"/>
              <w:left w:val="single" w:sz="4" w:space="0" w:color="auto"/>
              <w:bottom w:val="single" w:sz="4" w:space="0" w:color="auto"/>
              <w:right w:val="single" w:sz="4" w:space="0" w:color="auto"/>
            </w:tcBorders>
            <w:hideMark/>
          </w:tcPr>
          <w:p w:rsidR="005C65A6" w:rsidRPr="00432866" w:rsidRDefault="005C65A6">
            <w:pPr>
              <w:tabs>
                <w:tab w:val="left" w:pos="5310"/>
              </w:tabs>
              <w:jc w:val="center"/>
              <w:outlineLvl w:val="0"/>
              <w:rPr>
                <w:rFonts w:ascii="Arial" w:hAnsi="Arial" w:cs="Arial"/>
                <w:b/>
              </w:rPr>
            </w:pPr>
            <w:r w:rsidRPr="00432866">
              <w:rPr>
                <w:rFonts w:ascii="Arial" w:hAnsi="Arial" w:cs="Arial"/>
                <w:b/>
              </w:rPr>
              <w:t>Stage 1</w:t>
            </w:r>
          </w:p>
        </w:tc>
        <w:tc>
          <w:tcPr>
            <w:tcW w:w="1701" w:type="dxa"/>
            <w:tcBorders>
              <w:top w:val="single" w:sz="4" w:space="0" w:color="auto"/>
              <w:left w:val="single" w:sz="4" w:space="0" w:color="auto"/>
              <w:bottom w:val="single" w:sz="4" w:space="0" w:color="auto"/>
              <w:right w:val="single" w:sz="4" w:space="0" w:color="auto"/>
            </w:tcBorders>
            <w:hideMark/>
          </w:tcPr>
          <w:p w:rsidR="005C65A6" w:rsidRPr="00432866" w:rsidRDefault="005C65A6">
            <w:pPr>
              <w:tabs>
                <w:tab w:val="left" w:pos="5310"/>
              </w:tabs>
              <w:jc w:val="center"/>
              <w:outlineLvl w:val="0"/>
              <w:rPr>
                <w:rFonts w:ascii="Arial" w:hAnsi="Arial" w:cs="Arial"/>
                <w:b/>
              </w:rPr>
            </w:pPr>
            <w:r w:rsidRPr="00432866">
              <w:rPr>
                <w:rFonts w:ascii="Arial" w:hAnsi="Arial" w:cs="Arial"/>
                <w:b/>
              </w:rPr>
              <w:t>Stage 2</w:t>
            </w:r>
          </w:p>
        </w:tc>
        <w:tc>
          <w:tcPr>
            <w:tcW w:w="1701" w:type="dxa"/>
            <w:tcBorders>
              <w:top w:val="single" w:sz="4" w:space="0" w:color="auto"/>
              <w:left w:val="single" w:sz="4" w:space="0" w:color="auto"/>
              <w:bottom w:val="single" w:sz="4" w:space="0" w:color="auto"/>
              <w:right w:val="single" w:sz="4" w:space="0" w:color="auto"/>
            </w:tcBorders>
            <w:hideMark/>
          </w:tcPr>
          <w:p w:rsidR="005C65A6" w:rsidRPr="00432866" w:rsidRDefault="005C65A6">
            <w:pPr>
              <w:tabs>
                <w:tab w:val="left" w:pos="5310"/>
              </w:tabs>
              <w:jc w:val="center"/>
              <w:outlineLvl w:val="0"/>
              <w:rPr>
                <w:rFonts w:ascii="Arial" w:hAnsi="Arial" w:cs="Arial"/>
                <w:b/>
              </w:rPr>
            </w:pPr>
            <w:r w:rsidRPr="00432866">
              <w:rPr>
                <w:rFonts w:ascii="Arial" w:hAnsi="Arial" w:cs="Arial"/>
                <w:b/>
              </w:rPr>
              <w:t>Total</w:t>
            </w:r>
          </w:p>
        </w:tc>
      </w:tr>
      <w:tr w:rsidR="00E808AF" w:rsidRPr="00432866" w:rsidTr="00C9066E">
        <w:trPr>
          <w:jc w:val="center"/>
        </w:trPr>
        <w:tc>
          <w:tcPr>
            <w:tcW w:w="151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sidRPr="00432866">
              <w:rPr>
                <w:rFonts w:ascii="Arial" w:hAnsi="Arial" w:cs="Arial"/>
              </w:rPr>
              <w:t>Qu</w:t>
            </w:r>
            <w:r>
              <w:rPr>
                <w:rFonts w:ascii="Arial" w:hAnsi="Arial" w:cs="Arial"/>
              </w:rPr>
              <w:t>arter 2 (20</w:t>
            </w:r>
            <w:r w:rsidRPr="00432866">
              <w:rPr>
                <w:rFonts w:ascii="Arial" w:hAnsi="Arial" w:cs="Arial"/>
              </w:rPr>
              <w:t>2</w:t>
            </w:r>
            <w:r>
              <w:rPr>
                <w:rFonts w:ascii="Arial" w:hAnsi="Arial" w:cs="Arial"/>
              </w:rPr>
              <w:t>5-26</w:t>
            </w:r>
            <w:r w:rsidRPr="00432866">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E808AF" w:rsidRPr="00056DA3" w:rsidRDefault="001D1AEB" w:rsidP="00E808AF">
            <w:pPr>
              <w:tabs>
                <w:tab w:val="left" w:pos="5310"/>
              </w:tabs>
              <w:jc w:val="center"/>
              <w:outlineLvl w:val="0"/>
              <w:rPr>
                <w:rFonts w:ascii="Arial" w:hAnsi="Arial" w:cs="Arial"/>
              </w:rPr>
            </w:pPr>
            <w:r w:rsidRPr="00056DA3">
              <w:rPr>
                <w:rFonts w:ascii="Arial" w:hAnsi="Arial" w:cs="Arial"/>
              </w:rPr>
              <w:t>15</w:t>
            </w:r>
          </w:p>
        </w:tc>
        <w:tc>
          <w:tcPr>
            <w:tcW w:w="1701" w:type="dxa"/>
            <w:tcBorders>
              <w:top w:val="single" w:sz="4" w:space="0" w:color="auto"/>
              <w:left w:val="single" w:sz="4" w:space="0" w:color="auto"/>
              <w:bottom w:val="single" w:sz="4" w:space="0" w:color="auto"/>
              <w:right w:val="single" w:sz="4" w:space="0" w:color="auto"/>
            </w:tcBorders>
          </w:tcPr>
          <w:p w:rsidR="00E808AF" w:rsidRPr="00056DA3" w:rsidRDefault="001D1AEB" w:rsidP="00E808AF">
            <w:pPr>
              <w:tabs>
                <w:tab w:val="left" w:pos="5310"/>
              </w:tabs>
              <w:jc w:val="center"/>
              <w:outlineLvl w:val="0"/>
              <w:rPr>
                <w:rFonts w:ascii="Arial" w:hAnsi="Arial" w:cs="Arial"/>
              </w:rPr>
            </w:pPr>
            <w:r w:rsidRPr="00056DA3">
              <w:rPr>
                <w:rFonts w:ascii="Arial" w:hAnsi="Arial" w:cs="Arial"/>
              </w:rPr>
              <w:t>9</w:t>
            </w:r>
          </w:p>
        </w:tc>
        <w:tc>
          <w:tcPr>
            <w:tcW w:w="1701" w:type="dxa"/>
            <w:tcBorders>
              <w:top w:val="single" w:sz="4" w:space="0" w:color="auto"/>
              <w:left w:val="single" w:sz="4" w:space="0" w:color="auto"/>
              <w:bottom w:val="single" w:sz="4" w:space="0" w:color="auto"/>
              <w:right w:val="single" w:sz="4" w:space="0" w:color="auto"/>
            </w:tcBorders>
          </w:tcPr>
          <w:p w:rsidR="00E808AF" w:rsidRPr="00056DA3" w:rsidRDefault="001D1AEB" w:rsidP="00E808AF">
            <w:pPr>
              <w:tabs>
                <w:tab w:val="left" w:pos="5310"/>
              </w:tabs>
              <w:jc w:val="center"/>
              <w:outlineLvl w:val="0"/>
              <w:rPr>
                <w:rFonts w:ascii="Arial" w:hAnsi="Arial" w:cs="Arial"/>
              </w:rPr>
            </w:pPr>
            <w:r w:rsidRPr="00056DA3">
              <w:rPr>
                <w:rFonts w:ascii="Arial" w:hAnsi="Arial" w:cs="Arial"/>
              </w:rPr>
              <w:t>24</w:t>
            </w:r>
          </w:p>
        </w:tc>
      </w:tr>
      <w:tr w:rsidR="00E808AF" w:rsidRPr="00432866" w:rsidTr="00C9066E">
        <w:trPr>
          <w:jc w:val="center"/>
        </w:trPr>
        <w:tc>
          <w:tcPr>
            <w:tcW w:w="1511" w:type="dxa"/>
            <w:tcBorders>
              <w:top w:val="single" w:sz="4" w:space="0" w:color="auto"/>
              <w:left w:val="single" w:sz="4" w:space="0" w:color="auto"/>
              <w:bottom w:val="single" w:sz="4" w:space="0" w:color="auto"/>
              <w:right w:val="single" w:sz="4" w:space="0" w:color="auto"/>
            </w:tcBorders>
            <w:hideMark/>
          </w:tcPr>
          <w:p w:rsidR="00E808AF" w:rsidRPr="00432866" w:rsidRDefault="00E808AF" w:rsidP="00E808AF">
            <w:pPr>
              <w:tabs>
                <w:tab w:val="left" w:pos="5310"/>
              </w:tabs>
              <w:jc w:val="center"/>
              <w:outlineLvl w:val="0"/>
              <w:rPr>
                <w:rFonts w:ascii="Arial" w:hAnsi="Arial" w:cs="Arial"/>
              </w:rPr>
            </w:pPr>
            <w:r w:rsidRPr="00432866">
              <w:rPr>
                <w:rFonts w:ascii="Arial" w:hAnsi="Arial" w:cs="Arial"/>
              </w:rPr>
              <w:t>Quarter 1 (202</w:t>
            </w:r>
            <w:r>
              <w:rPr>
                <w:rFonts w:ascii="Arial" w:hAnsi="Arial" w:cs="Arial"/>
              </w:rPr>
              <w:t>5-26</w:t>
            </w:r>
            <w:r w:rsidRPr="00432866">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19</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12</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31</w:t>
            </w:r>
          </w:p>
        </w:tc>
      </w:tr>
      <w:tr w:rsidR="00E808AF" w:rsidRPr="00432866" w:rsidTr="00C9066E">
        <w:trPr>
          <w:jc w:val="center"/>
        </w:trPr>
        <w:tc>
          <w:tcPr>
            <w:tcW w:w="1511" w:type="dxa"/>
            <w:tcBorders>
              <w:top w:val="single" w:sz="4" w:space="0" w:color="auto"/>
              <w:left w:val="single" w:sz="4" w:space="0" w:color="auto"/>
              <w:bottom w:val="single" w:sz="4" w:space="0" w:color="auto"/>
              <w:right w:val="single" w:sz="4" w:space="0" w:color="auto"/>
            </w:tcBorders>
            <w:hideMark/>
          </w:tcPr>
          <w:p w:rsidR="00E808AF" w:rsidRPr="00432866" w:rsidRDefault="00E808AF" w:rsidP="00E808AF">
            <w:pPr>
              <w:tabs>
                <w:tab w:val="left" w:pos="5310"/>
              </w:tabs>
              <w:jc w:val="center"/>
              <w:outlineLvl w:val="0"/>
              <w:rPr>
                <w:rFonts w:ascii="Arial" w:hAnsi="Arial" w:cs="Arial"/>
              </w:rPr>
            </w:pPr>
            <w:r w:rsidRPr="00432866">
              <w:rPr>
                <w:rFonts w:ascii="Arial" w:hAnsi="Arial" w:cs="Arial"/>
              </w:rPr>
              <w:t>Quarter 4 (</w:t>
            </w:r>
            <w:r>
              <w:rPr>
                <w:rFonts w:ascii="Arial" w:hAnsi="Arial" w:cs="Arial"/>
              </w:rPr>
              <w:t>2024-25</w:t>
            </w:r>
            <w:r w:rsidRPr="00432866">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13</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sidRPr="00432866">
              <w:rPr>
                <w:rFonts w:ascii="Arial" w:hAnsi="Arial" w:cs="Arial"/>
              </w:rPr>
              <w:t>15</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28</w:t>
            </w:r>
          </w:p>
        </w:tc>
      </w:tr>
      <w:tr w:rsidR="00E808AF" w:rsidRPr="00432866" w:rsidTr="00C9066E">
        <w:trPr>
          <w:jc w:val="center"/>
        </w:trPr>
        <w:tc>
          <w:tcPr>
            <w:tcW w:w="1511" w:type="dxa"/>
            <w:tcBorders>
              <w:top w:val="single" w:sz="4" w:space="0" w:color="auto"/>
              <w:left w:val="single" w:sz="4" w:space="0" w:color="auto"/>
              <w:bottom w:val="single" w:sz="4" w:space="0" w:color="auto"/>
              <w:right w:val="single" w:sz="4" w:space="0" w:color="auto"/>
            </w:tcBorders>
            <w:hideMark/>
          </w:tcPr>
          <w:p w:rsidR="00E808AF" w:rsidRPr="00432866" w:rsidRDefault="00E808AF" w:rsidP="00E808AF">
            <w:pPr>
              <w:tabs>
                <w:tab w:val="left" w:pos="5310"/>
              </w:tabs>
              <w:jc w:val="center"/>
              <w:outlineLvl w:val="0"/>
              <w:rPr>
                <w:rFonts w:ascii="Arial" w:hAnsi="Arial" w:cs="Arial"/>
              </w:rPr>
            </w:pPr>
            <w:r>
              <w:rPr>
                <w:rFonts w:ascii="Arial" w:hAnsi="Arial" w:cs="Arial"/>
              </w:rPr>
              <w:t>Quarter 3 (20</w:t>
            </w:r>
            <w:r w:rsidRPr="00432866">
              <w:rPr>
                <w:rFonts w:ascii="Arial" w:hAnsi="Arial" w:cs="Arial"/>
              </w:rPr>
              <w:t>24</w:t>
            </w:r>
            <w:r>
              <w:rPr>
                <w:rFonts w:ascii="Arial" w:hAnsi="Arial" w:cs="Arial"/>
              </w:rPr>
              <w:t>-25</w:t>
            </w:r>
            <w:r w:rsidRPr="00432866">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11</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15</w:t>
            </w:r>
          </w:p>
        </w:tc>
        <w:tc>
          <w:tcPr>
            <w:tcW w:w="1701" w:type="dxa"/>
            <w:tcBorders>
              <w:top w:val="single" w:sz="4" w:space="0" w:color="auto"/>
              <w:left w:val="single" w:sz="4" w:space="0" w:color="auto"/>
              <w:bottom w:val="single" w:sz="4" w:space="0" w:color="auto"/>
              <w:right w:val="single" w:sz="4" w:space="0" w:color="auto"/>
            </w:tcBorders>
          </w:tcPr>
          <w:p w:rsidR="00E808AF" w:rsidRPr="00432866" w:rsidRDefault="00E808AF" w:rsidP="00E808AF">
            <w:pPr>
              <w:tabs>
                <w:tab w:val="left" w:pos="5310"/>
              </w:tabs>
              <w:jc w:val="center"/>
              <w:outlineLvl w:val="0"/>
              <w:rPr>
                <w:rFonts w:ascii="Arial" w:hAnsi="Arial" w:cs="Arial"/>
              </w:rPr>
            </w:pPr>
            <w:r>
              <w:rPr>
                <w:rFonts w:ascii="Arial" w:hAnsi="Arial" w:cs="Arial"/>
              </w:rPr>
              <w:t>26</w:t>
            </w:r>
          </w:p>
        </w:tc>
      </w:tr>
    </w:tbl>
    <w:p w:rsidR="00AF5AA7" w:rsidRDefault="00AF5AA7" w:rsidP="005C65A6">
      <w:pPr>
        <w:tabs>
          <w:tab w:val="left" w:pos="5310"/>
        </w:tabs>
        <w:outlineLvl w:val="0"/>
        <w:rPr>
          <w:rFonts w:ascii="Arial" w:hAnsi="Arial" w:cs="Arial"/>
        </w:rPr>
      </w:pPr>
    </w:p>
    <w:p w:rsidR="00AF5AA7" w:rsidRPr="00432866" w:rsidRDefault="00AF5AA7" w:rsidP="005C65A6">
      <w:pPr>
        <w:tabs>
          <w:tab w:val="left" w:pos="5310"/>
        </w:tabs>
        <w:outlineLvl w:val="0"/>
        <w:rPr>
          <w:rFonts w:ascii="Arial" w:hAnsi="Arial" w:cs="Arial"/>
        </w:rPr>
      </w:pPr>
    </w:p>
    <w:p w:rsidR="005C65A6" w:rsidRPr="00432866" w:rsidRDefault="005C65A6" w:rsidP="005C65A6">
      <w:pPr>
        <w:tabs>
          <w:tab w:val="left" w:pos="5310"/>
        </w:tabs>
        <w:outlineLvl w:val="0"/>
        <w:rPr>
          <w:rFonts w:ascii="Arial" w:hAnsi="Arial" w:cs="Arial"/>
        </w:rPr>
      </w:pPr>
      <w:r w:rsidRPr="00432866">
        <w:rPr>
          <w:rFonts w:ascii="Arial" w:hAnsi="Arial" w:cs="Arial"/>
        </w:rPr>
        <w:t>Timelines for responses continue to remain challenging in terms of completing investigation findings</w:t>
      </w:r>
      <w:r w:rsidR="00C56EE9">
        <w:rPr>
          <w:rFonts w:ascii="Arial" w:hAnsi="Arial" w:cs="Arial"/>
        </w:rPr>
        <w:t>, particularly in more complex cases</w:t>
      </w:r>
      <w:r w:rsidRPr="00432866">
        <w:rPr>
          <w:rFonts w:ascii="Arial" w:hAnsi="Arial" w:cs="Arial"/>
        </w:rPr>
        <w:t>.</w:t>
      </w:r>
      <w:r w:rsidR="00CE4E26" w:rsidRPr="00432866">
        <w:rPr>
          <w:rFonts w:ascii="Arial" w:hAnsi="Arial" w:cs="Arial"/>
        </w:rPr>
        <w:t xml:space="preserve"> </w:t>
      </w:r>
      <w:r w:rsidR="00B44D80">
        <w:rPr>
          <w:rFonts w:ascii="Arial" w:hAnsi="Arial" w:cs="Arial"/>
        </w:rPr>
        <w:t xml:space="preserve">Recent capacity challenges within the Clinical Governance Department have contributed to this. The performance </w:t>
      </w:r>
      <w:r w:rsidR="00CE4E26" w:rsidRPr="00432866">
        <w:rPr>
          <w:rFonts w:ascii="Arial" w:hAnsi="Arial" w:cs="Arial"/>
        </w:rPr>
        <w:t xml:space="preserve">continues to be highlighted through </w:t>
      </w:r>
      <w:r w:rsidR="00C56EE9">
        <w:rPr>
          <w:rFonts w:ascii="Arial" w:hAnsi="Arial" w:cs="Arial"/>
        </w:rPr>
        <w:t>regular reporting through governance structures such as Executive team and Confirm and Challenge.</w:t>
      </w:r>
      <w:r w:rsidR="00CE4E26" w:rsidRPr="00432866">
        <w:rPr>
          <w:rFonts w:ascii="Arial" w:hAnsi="Arial" w:cs="Arial"/>
        </w:rPr>
        <w:t xml:space="preserve"> </w:t>
      </w:r>
    </w:p>
    <w:p w:rsidR="005C65A6" w:rsidRPr="00432866" w:rsidRDefault="005C65A6" w:rsidP="005C65A6">
      <w:pPr>
        <w:tabs>
          <w:tab w:val="left" w:pos="5310"/>
        </w:tabs>
        <w:outlineLvl w:val="0"/>
        <w:rPr>
          <w:rFonts w:ascii="Arial" w:hAnsi="Arial" w:cs="Arial"/>
        </w:rPr>
      </w:pPr>
    </w:p>
    <w:p w:rsidR="005C65A6" w:rsidRPr="00432866" w:rsidRDefault="005C65A6" w:rsidP="005C65A6">
      <w:pPr>
        <w:tabs>
          <w:tab w:val="left" w:pos="5310"/>
        </w:tabs>
        <w:outlineLvl w:val="0"/>
        <w:rPr>
          <w:rFonts w:ascii="Arial" w:hAnsi="Arial" w:cs="Arial"/>
        </w:rPr>
      </w:pPr>
      <w:r w:rsidRPr="00432866">
        <w:rPr>
          <w:rFonts w:ascii="Arial" w:hAnsi="Arial" w:cs="Arial"/>
        </w:rPr>
        <w:t xml:space="preserve">We continue to receive a high number of compliments from patients; during quarter </w:t>
      </w:r>
      <w:r w:rsidR="00E808AF">
        <w:rPr>
          <w:rFonts w:ascii="Arial" w:hAnsi="Arial" w:cs="Arial"/>
        </w:rPr>
        <w:t xml:space="preserve">2 </w:t>
      </w:r>
      <w:r w:rsidRPr="00432866">
        <w:rPr>
          <w:rFonts w:ascii="Arial" w:hAnsi="Arial" w:cs="Arial"/>
        </w:rPr>
        <w:t xml:space="preserve">there were </w:t>
      </w:r>
      <w:r w:rsidR="00916869" w:rsidRPr="00916869">
        <w:rPr>
          <w:rFonts w:ascii="Arial" w:hAnsi="Arial" w:cs="Arial"/>
        </w:rPr>
        <w:t>49</w:t>
      </w:r>
      <w:r w:rsidR="00C56EE9" w:rsidRPr="00916869">
        <w:rPr>
          <w:rFonts w:ascii="Arial" w:hAnsi="Arial" w:cs="Arial"/>
        </w:rPr>
        <w:t xml:space="preserve"> compliments logged</w:t>
      </w:r>
      <w:r w:rsidRPr="00916869">
        <w:rPr>
          <w:rFonts w:ascii="Arial" w:hAnsi="Arial" w:cs="Arial"/>
        </w:rPr>
        <w:t xml:space="preserve"> and shared with the clinical teams.</w:t>
      </w:r>
    </w:p>
    <w:p w:rsidR="005C65A6" w:rsidRDefault="005C65A6" w:rsidP="005C65A6">
      <w:pPr>
        <w:pStyle w:val="Subtitle"/>
        <w:tabs>
          <w:tab w:val="left" w:pos="142"/>
        </w:tabs>
        <w:jc w:val="left"/>
        <w:rPr>
          <w:b w:val="0"/>
          <w:bCs w:val="0"/>
          <w:color w:val="auto"/>
          <w:lang w:eastAsia="en-GB"/>
        </w:rPr>
      </w:pPr>
    </w:p>
    <w:p w:rsidR="005C65A6" w:rsidRPr="00432866" w:rsidRDefault="005C65A6" w:rsidP="005C65A6">
      <w:pPr>
        <w:pStyle w:val="Subtitle"/>
        <w:tabs>
          <w:tab w:val="left" w:pos="142"/>
        </w:tabs>
        <w:jc w:val="left"/>
        <w:rPr>
          <w:color w:val="auto"/>
          <w:u w:val="single"/>
        </w:rPr>
      </w:pPr>
      <w:r w:rsidRPr="00432866">
        <w:rPr>
          <w:color w:val="auto"/>
          <w:u w:val="single"/>
        </w:rPr>
        <w:t>Complaint Levels and Respon</w:t>
      </w:r>
      <w:r w:rsidR="00E808AF">
        <w:rPr>
          <w:color w:val="auto"/>
          <w:u w:val="single"/>
        </w:rPr>
        <w:t>se Times within Quarter 2</w:t>
      </w:r>
    </w:p>
    <w:p w:rsidR="005C65A6" w:rsidRPr="00432866" w:rsidRDefault="005C65A6" w:rsidP="005C65A6">
      <w:pPr>
        <w:rPr>
          <w:rFonts w:ascii="Arial" w:hAnsi="Arial" w:cs="Arial"/>
        </w:rPr>
      </w:pPr>
    </w:p>
    <w:p w:rsidR="005C65A6" w:rsidRDefault="005C65A6" w:rsidP="005C65A6">
      <w:pPr>
        <w:rPr>
          <w:rFonts w:ascii="Arial" w:hAnsi="Arial" w:cs="Arial"/>
        </w:rPr>
      </w:pPr>
      <w:r w:rsidRPr="00432866">
        <w:rPr>
          <w:rFonts w:ascii="Arial" w:hAnsi="Arial" w:cs="Arial"/>
        </w:rPr>
        <w:t xml:space="preserve">The below table provides a breakdown of all quarter 1 complaints received by stage and provides reasons for those not responded to within timescale. </w:t>
      </w:r>
    </w:p>
    <w:p w:rsidR="00464319" w:rsidRPr="00432866" w:rsidRDefault="00464319" w:rsidP="005C65A6">
      <w:pPr>
        <w:rPr>
          <w:rFonts w:ascii="Arial" w:hAnsi="Arial" w:cs="Arial"/>
        </w:rPr>
      </w:pPr>
    </w:p>
    <w:p w:rsidR="005C65A6" w:rsidRPr="00432866" w:rsidRDefault="005C65A6" w:rsidP="005C65A6">
      <w:pPr>
        <w:pStyle w:val="Subtitle"/>
        <w:jc w:val="left"/>
        <w:rPr>
          <w:color w:val="auto"/>
        </w:rPr>
      </w:pPr>
      <w:r w:rsidRPr="00432866">
        <w:rPr>
          <w:color w:val="auto"/>
        </w:rPr>
        <w:t xml:space="preserve">Table 2 – Quarter 1 Complaints Breakdown by Stage </w:t>
      </w:r>
    </w:p>
    <w:p w:rsidR="00CE4E26" w:rsidRPr="00432866" w:rsidRDefault="00CE4E26" w:rsidP="005C65A6">
      <w:pPr>
        <w:pStyle w:val="Subtitle"/>
        <w:jc w:val="left"/>
        <w:rPr>
          <w:color w:val="auto"/>
        </w:rPr>
      </w:pPr>
    </w:p>
    <w:tbl>
      <w:tblPr>
        <w:tblpPr w:leftFromText="180" w:rightFromText="180" w:vertAnchor="text" w:tblpX="-289"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52"/>
        <w:gridCol w:w="1279"/>
        <w:gridCol w:w="1143"/>
        <w:gridCol w:w="1226"/>
        <w:gridCol w:w="1038"/>
        <w:gridCol w:w="1288"/>
        <w:gridCol w:w="1401"/>
        <w:gridCol w:w="1132"/>
      </w:tblGrid>
      <w:tr w:rsidR="00432866" w:rsidRPr="00163B3C" w:rsidTr="00CE4E26">
        <w:trPr>
          <w:trHeight w:val="356"/>
        </w:trPr>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C65A6" w:rsidRPr="00163B3C" w:rsidRDefault="005C65A6" w:rsidP="00CE4E26">
            <w:pPr>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Total rcvd</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Stage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Fully Upheld</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Partially Upheld</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Not Upheld</w:t>
            </w: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rPr>
              <w:t>Closed within 5 days/20 days</w:t>
            </w:r>
          </w:p>
        </w:tc>
        <w:tc>
          <w:tcPr>
            <w:tcW w:w="1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rPr>
            </w:pPr>
            <w:r w:rsidRPr="00163B3C">
              <w:rPr>
                <w:rFonts w:ascii="Arial" w:hAnsi="Arial" w:cs="Arial"/>
                <w:b/>
                <w:bCs/>
              </w:rPr>
              <w:t>Average response times</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65A6" w:rsidRPr="00163B3C" w:rsidRDefault="005C65A6" w:rsidP="00CE4E26">
            <w:pPr>
              <w:jc w:val="center"/>
              <w:rPr>
                <w:rFonts w:ascii="Arial" w:hAnsi="Arial" w:cs="Arial"/>
                <w:b/>
                <w:bCs/>
              </w:rPr>
            </w:pPr>
            <w:r w:rsidRPr="00163B3C">
              <w:rPr>
                <w:rFonts w:ascii="Arial" w:hAnsi="Arial" w:cs="Arial"/>
                <w:b/>
                <w:bCs/>
              </w:rPr>
              <w:t>Range</w:t>
            </w:r>
          </w:p>
          <w:p w:rsidR="005C65A6" w:rsidRPr="00163B3C" w:rsidRDefault="005C65A6" w:rsidP="00CE4E26">
            <w:pPr>
              <w:jc w:val="center"/>
              <w:rPr>
                <w:rFonts w:ascii="Arial" w:hAnsi="Arial" w:cs="Arial"/>
                <w:b/>
                <w:bCs/>
              </w:rPr>
            </w:pPr>
            <w:r w:rsidRPr="00163B3C">
              <w:rPr>
                <w:rFonts w:ascii="Arial" w:hAnsi="Arial" w:cs="Arial"/>
                <w:b/>
                <w:bCs/>
              </w:rPr>
              <w:t>In days</w:t>
            </w:r>
          </w:p>
        </w:tc>
      </w:tr>
      <w:tr w:rsidR="00432866" w:rsidRPr="00163B3C" w:rsidTr="00CB11EB">
        <w:trPr>
          <w:trHeight w:val="356"/>
        </w:trPr>
        <w:tc>
          <w:tcPr>
            <w:tcW w:w="563" w:type="dxa"/>
            <w:vMerge w:val="restart"/>
            <w:tcBorders>
              <w:top w:val="single" w:sz="4" w:space="0" w:color="auto"/>
              <w:left w:val="single" w:sz="4" w:space="0" w:color="auto"/>
              <w:bottom w:val="single" w:sz="4" w:space="0" w:color="auto"/>
              <w:right w:val="single" w:sz="4" w:space="0" w:color="auto"/>
            </w:tcBorders>
            <w:vAlign w:val="bottom"/>
          </w:tcPr>
          <w:p w:rsidR="005C65A6" w:rsidRPr="00163B3C" w:rsidRDefault="00542FCC" w:rsidP="00CE4E26">
            <w:pPr>
              <w:jc w:val="center"/>
              <w:rPr>
                <w:rFonts w:ascii="Arial" w:hAnsi="Arial" w:cs="Arial"/>
                <w:b/>
              </w:rPr>
            </w:pPr>
            <w:r w:rsidRPr="00163B3C">
              <w:rPr>
                <w:rFonts w:ascii="Arial" w:hAnsi="Arial" w:cs="Arial"/>
                <w:b/>
              </w:rPr>
              <w:t>Q2</w:t>
            </w:r>
          </w:p>
          <w:p w:rsidR="005C65A6" w:rsidRPr="00163B3C" w:rsidRDefault="005C65A6" w:rsidP="00CE4E26">
            <w:pPr>
              <w:jc w:val="center"/>
              <w:rPr>
                <w:rFonts w:ascii="Arial" w:hAnsi="Arial" w:cs="Arial"/>
                <w:b/>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C65A6" w:rsidRPr="00163B3C" w:rsidRDefault="001D1AEB" w:rsidP="00CE4E26">
            <w:pPr>
              <w:jc w:val="center"/>
              <w:rPr>
                <w:rFonts w:ascii="Arial" w:hAnsi="Arial" w:cs="Arial"/>
                <w:b/>
              </w:rPr>
            </w:pPr>
            <w:r>
              <w:rPr>
                <w:rFonts w:ascii="Arial" w:hAnsi="Arial" w:cs="Arial"/>
                <w:b/>
              </w:rPr>
              <w:t>24</w:t>
            </w:r>
          </w:p>
        </w:tc>
        <w:tc>
          <w:tcPr>
            <w:tcW w:w="1280" w:type="dxa"/>
            <w:tcBorders>
              <w:top w:val="single" w:sz="4" w:space="0" w:color="auto"/>
              <w:left w:val="single" w:sz="4" w:space="0" w:color="auto"/>
              <w:bottom w:val="single" w:sz="4" w:space="0" w:color="auto"/>
              <w:right w:val="single" w:sz="4" w:space="0" w:color="auto"/>
            </w:tcBorders>
            <w:hideMark/>
          </w:tcPr>
          <w:p w:rsidR="005C65A6" w:rsidRPr="00163B3C" w:rsidRDefault="005C65A6" w:rsidP="00C56EE9">
            <w:pPr>
              <w:rPr>
                <w:rFonts w:ascii="Arial" w:hAnsi="Arial" w:cs="Arial"/>
                <w:b/>
              </w:rPr>
            </w:pPr>
            <w:r w:rsidRPr="00163B3C">
              <w:rPr>
                <w:rFonts w:ascii="Arial" w:hAnsi="Arial" w:cs="Arial"/>
                <w:b/>
              </w:rPr>
              <w:t xml:space="preserve">Stage 1 = </w:t>
            </w:r>
            <w:r w:rsidR="00E23279" w:rsidRPr="00163B3C">
              <w:rPr>
                <w:rFonts w:ascii="Arial" w:hAnsi="Arial" w:cs="Arial"/>
                <w:b/>
              </w:rPr>
              <w:t>15</w:t>
            </w:r>
            <w:r w:rsidR="00FF4575">
              <w:rPr>
                <w:rFonts w:ascii="Arial" w:hAnsi="Arial" w:cs="Arial"/>
                <w:b/>
              </w:rPr>
              <w:t xml:space="preserve"> </w:t>
            </w:r>
            <w:r w:rsidRPr="00163B3C">
              <w:rPr>
                <w:rFonts w:ascii="Arial" w:hAnsi="Arial" w:cs="Arial"/>
                <w:b/>
              </w:rPr>
              <w:t>*</w:t>
            </w:r>
          </w:p>
        </w:tc>
        <w:tc>
          <w:tcPr>
            <w:tcW w:w="1139" w:type="dxa"/>
            <w:tcBorders>
              <w:top w:val="single" w:sz="4" w:space="0" w:color="auto"/>
              <w:left w:val="single" w:sz="4" w:space="0" w:color="auto"/>
              <w:bottom w:val="single" w:sz="4" w:space="0" w:color="auto"/>
              <w:right w:val="single" w:sz="4" w:space="0" w:color="auto"/>
            </w:tcBorders>
            <w:vAlign w:val="center"/>
            <w:hideMark/>
          </w:tcPr>
          <w:p w:rsidR="005C65A6" w:rsidRPr="00163B3C" w:rsidRDefault="004724C0" w:rsidP="00825B47">
            <w:pPr>
              <w:jc w:val="center"/>
              <w:rPr>
                <w:rFonts w:ascii="Arial" w:hAnsi="Arial" w:cs="Arial"/>
              </w:rPr>
            </w:pPr>
            <w:r>
              <w:rPr>
                <w:rFonts w:ascii="Arial" w:hAnsi="Arial" w:cs="Arial"/>
              </w:rPr>
              <w:t>3</w:t>
            </w:r>
          </w:p>
        </w:tc>
        <w:tc>
          <w:tcPr>
            <w:tcW w:w="1227" w:type="dxa"/>
            <w:tcBorders>
              <w:top w:val="single" w:sz="4" w:space="0" w:color="auto"/>
              <w:left w:val="single" w:sz="4" w:space="0" w:color="auto"/>
              <w:bottom w:val="single" w:sz="4" w:space="0" w:color="auto"/>
              <w:right w:val="single" w:sz="4" w:space="0" w:color="auto"/>
            </w:tcBorders>
            <w:vAlign w:val="center"/>
            <w:hideMark/>
          </w:tcPr>
          <w:p w:rsidR="005C65A6" w:rsidRPr="00163B3C" w:rsidRDefault="004724C0" w:rsidP="009B68C9">
            <w:pPr>
              <w:jc w:val="center"/>
              <w:rPr>
                <w:rFonts w:ascii="Arial" w:hAnsi="Arial" w:cs="Arial"/>
              </w:rPr>
            </w:pPr>
            <w:r>
              <w:rPr>
                <w:rFonts w:ascii="Arial" w:hAnsi="Arial" w:cs="Arial"/>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rsidR="005C65A6" w:rsidRPr="00163B3C" w:rsidRDefault="004724C0" w:rsidP="00CE4E26">
            <w:pPr>
              <w:jc w:val="center"/>
              <w:rPr>
                <w:rFonts w:ascii="Arial" w:hAnsi="Arial" w:cs="Arial"/>
              </w:rPr>
            </w:pPr>
            <w:r>
              <w:rPr>
                <w:rFonts w:ascii="Arial" w:hAnsi="Arial" w:cs="Arial"/>
              </w:rPr>
              <w:t>6</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5C65A6" w:rsidRPr="00163B3C" w:rsidRDefault="005C65A6" w:rsidP="00405485">
            <w:pPr>
              <w:jc w:val="center"/>
              <w:rPr>
                <w:rFonts w:ascii="Arial" w:hAnsi="Arial" w:cs="Arial"/>
              </w:rPr>
            </w:pPr>
            <w:r w:rsidRPr="00163B3C">
              <w:rPr>
                <w:rFonts w:ascii="Arial" w:hAnsi="Arial" w:cs="Arial"/>
              </w:rPr>
              <w:t>(</w:t>
            </w:r>
            <w:r w:rsidR="00745D8E" w:rsidRPr="00163B3C">
              <w:rPr>
                <w:rFonts w:ascii="Arial" w:hAnsi="Arial" w:cs="Arial"/>
              </w:rPr>
              <w:t>75</w:t>
            </w:r>
            <w:r w:rsidRPr="00163B3C">
              <w:rPr>
                <w:rFonts w:ascii="Arial" w:hAnsi="Arial" w:cs="Arial"/>
              </w:rPr>
              <w:t>%)</w:t>
            </w:r>
          </w:p>
        </w:tc>
        <w:tc>
          <w:tcPr>
            <w:tcW w:w="1402" w:type="dxa"/>
            <w:tcBorders>
              <w:top w:val="single" w:sz="4" w:space="0" w:color="auto"/>
              <w:left w:val="single" w:sz="4" w:space="0" w:color="auto"/>
              <w:bottom w:val="single" w:sz="4" w:space="0" w:color="auto"/>
              <w:right w:val="single" w:sz="4" w:space="0" w:color="auto"/>
            </w:tcBorders>
            <w:hideMark/>
          </w:tcPr>
          <w:p w:rsidR="005C65A6" w:rsidRPr="00163B3C" w:rsidRDefault="00CB11EB" w:rsidP="00CE4E26">
            <w:pPr>
              <w:jc w:val="center"/>
              <w:rPr>
                <w:rFonts w:ascii="Arial" w:hAnsi="Arial" w:cs="Arial"/>
              </w:rPr>
            </w:pPr>
            <w:r w:rsidRPr="00163B3C">
              <w:rPr>
                <w:rFonts w:ascii="Arial" w:hAnsi="Arial" w:cs="Arial"/>
              </w:rPr>
              <w:t>5</w:t>
            </w:r>
            <w:r w:rsidR="00405485" w:rsidRPr="00163B3C">
              <w:rPr>
                <w:rFonts w:ascii="Arial" w:hAnsi="Arial" w:cs="Arial"/>
              </w:rPr>
              <w:t xml:space="preserve"> </w:t>
            </w:r>
            <w:r w:rsidR="005C65A6" w:rsidRPr="00163B3C">
              <w:rPr>
                <w:rFonts w:ascii="Arial" w:hAnsi="Arial" w:cs="Arial"/>
              </w:rPr>
              <w:t>days</w:t>
            </w:r>
          </w:p>
        </w:tc>
        <w:tc>
          <w:tcPr>
            <w:tcW w:w="1133" w:type="dxa"/>
            <w:tcBorders>
              <w:top w:val="single" w:sz="4" w:space="0" w:color="auto"/>
              <w:left w:val="single" w:sz="4" w:space="0" w:color="auto"/>
              <w:bottom w:val="single" w:sz="4" w:space="0" w:color="auto"/>
              <w:right w:val="single" w:sz="4" w:space="0" w:color="auto"/>
            </w:tcBorders>
            <w:hideMark/>
          </w:tcPr>
          <w:p w:rsidR="005C65A6" w:rsidRPr="00163B3C" w:rsidRDefault="00160E0B" w:rsidP="00CE4E26">
            <w:pPr>
              <w:jc w:val="center"/>
              <w:rPr>
                <w:rFonts w:ascii="Arial" w:hAnsi="Arial" w:cs="Arial"/>
              </w:rPr>
            </w:pPr>
            <w:r w:rsidRPr="00163B3C">
              <w:rPr>
                <w:rFonts w:ascii="Arial" w:hAnsi="Arial" w:cs="Arial"/>
              </w:rPr>
              <w:t>3-11</w:t>
            </w:r>
          </w:p>
        </w:tc>
      </w:tr>
      <w:tr w:rsidR="00432866" w:rsidRPr="00163B3C" w:rsidTr="00CB11EB">
        <w:trPr>
          <w:trHeight w:val="38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5C65A6" w:rsidRPr="00163B3C" w:rsidRDefault="005C65A6" w:rsidP="00CE4E26">
            <w:pPr>
              <w:rPr>
                <w:rFonts w:ascii="Arial" w:hAnsi="Arial" w:cs="Arial"/>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C65A6" w:rsidRPr="00163B3C" w:rsidRDefault="005C65A6" w:rsidP="00CE4E26">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hideMark/>
          </w:tcPr>
          <w:p w:rsidR="005C65A6" w:rsidRPr="00163B3C" w:rsidRDefault="005C65A6" w:rsidP="00542FCC">
            <w:pPr>
              <w:rPr>
                <w:rFonts w:ascii="Arial" w:hAnsi="Arial" w:cs="Arial"/>
                <w:b/>
              </w:rPr>
            </w:pPr>
            <w:r w:rsidRPr="00163B3C">
              <w:rPr>
                <w:rFonts w:ascii="Arial" w:hAnsi="Arial" w:cs="Arial"/>
                <w:b/>
              </w:rPr>
              <w:t xml:space="preserve">Stage 2 = </w:t>
            </w:r>
            <w:r w:rsidR="00542FCC" w:rsidRPr="00163B3C">
              <w:rPr>
                <w:rFonts w:ascii="Arial" w:hAnsi="Arial" w:cs="Arial"/>
                <w:b/>
              </w:rPr>
              <w:t>9</w:t>
            </w:r>
            <w:r w:rsidR="00FF4575">
              <w:rPr>
                <w:rFonts w:ascii="Arial" w:hAnsi="Arial" w:cs="Arial"/>
                <w:b/>
              </w:rPr>
              <w:t xml:space="preserve"> </w:t>
            </w:r>
            <w:r w:rsidRPr="00163B3C">
              <w:rPr>
                <w:rFonts w:ascii="Arial" w:hAnsi="Arial" w:cs="Arial"/>
                <w:b/>
              </w:rPr>
              <w:t>**</w:t>
            </w:r>
          </w:p>
        </w:tc>
        <w:tc>
          <w:tcPr>
            <w:tcW w:w="1144" w:type="dxa"/>
            <w:tcBorders>
              <w:top w:val="single" w:sz="4" w:space="0" w:color="auto"/>
              <w:left w:val="single" w:sz="4" w:space="0" w:color="auto"/>
              <w:bottom w:val="single" w:sz="4" w:space="0" w:color="auto"/>
              <w:right w:val="single" w:sz="4" w:space="0" w:color="auto"/>
            </w:tcBorders>
            <w:vAlign w:val="center"/>
            <w:hideMark/>
          </w:tcPr>
          <w:p w:rsidR="001932F0" w:rsidRPr="00163B3C" w:rsidRDefault="00160E0B" w:rsidP="001932F0">
            <w:pPr>
              <w:jc w:val="center"/>
              <w:rPr>
                <w:rFonts w:ascii="Arial" w:hAnsi="Arial" w:cs="Arial"/>
              </w:rPr>
            </w:pPr>
            <w:r w:rsidRPr="00163B3C">
              <w:rPr>
                <w:rFonts w:ascii="Arial" w:hAnsi="Arial" w:cs="Arial"/>
              </w:rPr>
              <w:t>1</w:t>
            </w:r>
          </w:p>
        </w:tc>
        <w:tc>
          <w:tcPr>
            <w:tcW w:w="1227" w:type="dxa"/>
            <w:tcBorders>
              <w:top w:val="single" w:sz="4" w:space="0" w:color="auto"/>
              <w:left w:val="single" w:sz="4" w:space="0" w:color="auto"/>
              <w:bottom w:val="single" w:sz="4" w:space="0" w:color="auto"/>
              <w:right w:val="single" w:sz="4" w:space="0" w:color="auto"/>
            </w:tcBorders>
            <w:vAlign w:val="center"/>
            <w:hideMark/>
          </w:tcPr>
          <w:p w:rsidR="005C65A6" w:rsidRPr="00163B3C" w:rsidRDefault="005C29FE" w:rsidP="00CE4E26">
            <w:pPr>
              <w:jc w:val="center"/>
              <w:rPr>
                <w:rFonts w:ascii="Arial" w:hAnsi="Arial" w:cs="Arial"/>
              </w:rPr>
            </w:pPr>
            <w:r w:rsidRPr="00163B3C">
              <w:rPr>
                <w:rFonts w:ascii="Arial" w:hAnsi="Arial" w:cs="Arial"/>
              </w:rPr>
              <w:t>1</w:t>
            </w:r>
          </w:p>
        </w:tc>
        <w:tc>
          <w:tcPr>
            <w:tcW w:w="1039" w:type="dxa"/>
            <w:tcBorders>
              <w:top w:val="single" w:sz="4" w:space="0" w:color="auto"/>
              <w:left w:val="single" w:sz="4" w:space="0" w:color="auto"/>
              <w:bottom w:val="single" w:sz="4" w:space="0" w:color="auto"/>
              <w:right w:val="single" w:sz="4" w:space="0" w:color="auto"/>
            </w:tcBorders>
            <w:vAlign w:val="center"/>
            <w:hideMark/>
          </w:tcPr>
          <w:p w:rsidR="005C65A6" w:rsidRPr="00163B3C" w:rsidRDefault="00160E0B" w:rsidP="00CE4E26">
            <w:pPr>
              <w:jc w:val="center"/>
              <w:rPr>
                <w:rFonts w:ascii="Arial" w:hAnsi="Arial" w:cs="Arial"/>
              </w:rPr>
            </w:pPr>
            <w:r w:rsidRPr="00163B3C">
              <w:rPr>
                <w:rFonts w:ascii="Arial" w:hAnsi="Arial" w:cs="Arial"/>
              </w:rPr>
              <w:t>1</w:t>
            </w:r>
          </w:p>
        </w:tc>
        <w:tc>
          <w:tcPr>
            <w:tcW w:w="1289" w:type="dxa"/>
            <w:tcBorders>
              <w:top w:val="single" w:sz="4" w:space="0" w:color="auto"/>
              <w:left w:val="single" w:sz="4" w:space="0" w:color="auto"/>
              <w:bottom w:val="single" w:sz="4" w:space="0" w:color="auto"/>
              <w:right w:val="single" w:sz="4" w:space="0" w:color="auto"/>
            </w:tcBorders>
            <w:shd w:val="clear" w:color="auto" w:fill="auto"/>
            <w:hideMark/>
          </w:tcPr>
          <w:p w:rsidR="005C65A6" w:rsidRPr="00163B3C" w:rsidRDefault="005C65A6" w:rsidP="00160E0B">
            <w:pPr>
              <w:jc w:val="center"/>
              <w:rPr>
                <w:rFonts w:ascii="Arial" w:hAnsi="Arial" w:cs="Arial"/>
              </w:rPr>
            </w:pPr>
            <w:r w:rsidRPr="00163B3C">
              <w:rPr>
                <w:rFonts w:ascii="Arial" w:hAnsi="Arial" w:cs="Arial"/>
              </w:rPr>
              <w:t>(</w:t>
            </w:r>
            <w:r w:rsidR="00160E0B" w:rsidRPr="00163B3C">
              <w:rPr>
                <w:rFonts w:ascii="Arial" w:hAnsi="Arial" w:cs="Arial"/>
              </w:rPr>
              <w:t>33</w:t>
            </w:r>
            <w:r w:rsidRPr="00163B3C">
              <w:rPr>
                <w:rFonts w:ascii="Arial" w:hAnsi="Arial" w:cs="Arial"/>
                <w:bCs/>
                <w:shd w:val="clear" w:color="auto" w:fill="FFFFFF"/>
              </w:rPr>
              <w:t>%)</w:t>
            </w:r>
          </w:p>
        </w:tc>
        <w:tc>
          <w:tcPr>
            <w:tcW w:w="1402" w:type="dxa"/>
            <w:tcBorders>
              <w:top w:val="single" w:sz="4" w:space="0" w:color="auto"/>
              <w:left w:val="single" w:sz="4" w:space="0" w:color="auto"/>
              <w:bottom w:val="single" w:sz="4" w:space="0" w:color="auto"/>
              <w:right w:val="single" w:sz="4" w:space="0" w:color="auto"/>
            </w:tcBorders>
            <w:hideMark/>
          </w:tcPr>
          <w:p w:rsidR="005C65A6" w:rsidRPr="00163B3C" w:rsidRDefault="0037163B" w:rsidP="00CB11EB">
            <w:pPr>
              <w:jc w:val="center"/>
              <w:rPr>
                <w:rFonts w:ascii="Arial" w:hAnsi="Arial" w:cs="Arial"/>
              </w:rPr>
            </w:pPr>
            <w:r w:rsidRPr="00163B3C">
              <w:rPr>
                <w:rFonts w:ascii="Arial" w:hAnsi="Arial" w:cs="Arial"/>
              </w:rPr>
              <w:t>3</w:t>
            </w:r>
            <w:r w:rsidR="00CB11EB" w:rsidRPr="00163B3C">
              <w:rPr>
                <w:rFonts w:ascii="Arial" w:hAnsi="Arial" w:cs="Arial"/>
              </w:rPr>
              <w:t>1</w:t>
            </w:r>
            <w:r w:rsidRPr="00163B3C">
              <w:rPr>
                <w:rFonts w:ascii="Arial" w:hAnsi="Arial" w:cs="Arial"/>
              </w:rPr>
              <w:t xml:space="preserve"> days</w:t>
            </w:r>
          </w:p>
        </w:tc>
        <w:tc>
          <w:tcPr>
            <w:tcW w:w="1133" w:type="dxa"/>
            <w:tcBorders>
              <w:top w:val="single" w:sz="4" w:space="0" w:color="auto"/>
              <w:left w:val="single" w:sz="4" w:space="0" w:color="auto"/>
              <w:bottom w:val="single" w:sz="4" w:space="0" w:color="auto"/>
              <w:right w:val="single" w:sz="4" w:space="0" w:color="auto"/>
            </w:tcBorders>
            <w:hideMark/>
          </w:tcPr>
          <w:p w:rsidR="005C65A6" w:rsidRPr="00163B3C" w:rsidRDefault="00405485" w:rsidP="00160E0B">
            <w:pPr>
              <w:jc w:val="center"/>
              <w:rPr>
                <w:rFonts w:ascii="Arial" w:hAnsi="Arial" w:cs="Arial"/>
              </w:rPr>
            </w:pPr>
            <w:r w:rsidRPr="00163B3C">
              <w:rPr>
                <w:rFonts w:ascii="Arial" w:hAnsi="Arial" w:cs="Arial"/>
              </w:rPr>
              <w:t>1</w:t>
            </w:r>
            <w:r w:rsidR="00160E0B" w:rsidRPr="00163B3C">
              <w:rPr>
                <w:rFonts w:ascii="Arial" w:hAnsi="Arial" w:cs="Arial"/>
              </w:rPr>
              <w:t>4-46</w:t>
            </w:r>
          </w:p>
        </w:tc>
      </w:tr>
    </w:tbl>
    <w:p w:rsidR="00225240" w:rsidRPr="00163B3C" w:rsidRDefault="00CE4E26" w:rsidP="00225240">
      <w:pPr>
        <w:pStyle w:val="Subtitle"/>
        <w:jc w:val="left"/>
        <w:rPr>
          <w:b w:val="0"/>
          <w:color w:val="auto"/>
        </w:rPr>
      </w:pPr>
      <w:r w:rsidRPr="00163B3C">
        <w:rPr>
          <w:b w:val="0"/>
          <w:color w:val="auto"/>
        </w:rPr>
        <w:lastRenderedPageBreak/>
        <w:br w:type="textWrapping" w:clear="all"/>
      </w:r>
      <w:r w:rsidR="005C65A6" w:rsidRPr="00163B3C">
        <w:rPr>
          <w:b w:val="0"/>
          <w:color w:val="auto"/>
        </w:rPr>
        <w:t xml:space="preserve"> </w:t>
      </w:r>
      <w:r w:rsidR="00225240" w:rsidRPr="00163B3C">
        <w:rPr>
          <w:b w:val="0"/>
          <w:color w:val="auto"/>
        </w:rPr>
        <w:t xml:space="preserve">* </w:t>
      </w:r>
      <w:r w:rsidR="004724C0">
        <w:rPr>
          <w:b w:val="0"/>
          <w:color w:val="auto"/>
        </w:rPr>
        <w:t>1</w:t>
      </w:r>
      <w:r w:rsidR="00E23279" w:rsidRPr="00163B3C">
        <w:rPr>
          <w:b w:val="0"/>
          <w:color w:val="auto"/>
        </w:rPr>
        <w:t xml:space="preserve"> remain</w:t>
      </w:r>
      <w:r w:rsidR="00620B59">
        <w:rPr>
          <w:b w:val="0"/>
          <w:color w:val="auto"/>
        </w:rPr>
        <w:t>s</w:t>
      </w:r>
      <w:r w:rsidR="00E23279" w:rsidRPr="00163B3C">
        <w:rPr>
          <w:b w:val="0"/>
          <w:color w:val="auto"/>
        </w:rPr>
        <w:t xml:space="preserve"> open, 1 complaint rejected</w:t>
      </w:r>
      <w:r w:rsidR="00225240" w:rsidRPr="00163B3C">
        <w:rPr>
          <w:b w:val="0"/>
          <w:color w:val="auto"/>
        </w:rPr>
        <w:tab/>
      </w:r>
    </w:p>
    <w:p w:rsidR="00225240" w:rsidRPr="00432866" w:rsidRDefault="00225240" w:rsidP="00225240">
      <w:pPr>
        <w:pStyle w:val="Subtitle"/>
        <w:jc w:val="left"/>
        <w:rPr>
          <w:b w:val="0"/>
          <w:color w:val="auto"/>
        </w:rPr>
      </w:pPr>
      <w:r w:rsidRPr="00163B3C">
        <w:rPr>
          <w:b w:val="0"/>
          <w:color w:val="auto"/>
        </w:rPr>
        <w:t xml:space="preserve">** </w:t>
      </w:r>
      <w:r w:rsidR="00163B3C" w:rsidRPr="00163B3C">
        <w:rPr>
          <w:b w:val="0"/>
          <w:color w:val="auto"/>
        </w:rPr>
        <w:t>6</w:t>
      </w:r>
      <w:r w:rsidR="005C29FE" w:rsidRPr="00163B3C">
        <w:rPr>
          <w:b w:val="0"/>
          <w:color w:val="auto"/>
        </w:rPr>
        <w:t xml:space="preserve"> </w:t>
      </w:r>
      <w:r w:rsidRPr="00163B3C">
        <w:rPr>
          <w:b w:val="0"/>
          <w:color w:val="auto"/>
        </w:rPr>
        <w:t>remain open</w:t>
      </w:r>
      <w:r w:rsidR="001932F0" w:rsidRPr="00163B3C">
        <w:rPr>
          <w:b w:val="0"/>
          <w:color w:val="auto"/>
        </w:rPr>
        <w:t xml:space="preserve"> at the time of the report</w:t>
      </w:r>
      <w:r w:rsidR="001932F0">
        <w:rPr>
          <w:b w:val="0"/>
          <w:color w:val="auto"/>
        </w:rPr>
        <w:t xml:space="preserve"> </w:t>
      </w:r>
    </w:p>
    <w:p w:rsidR="005C65A6" w:rsidRPr="00432866" w:rsidRDefault="005C65A6" w:rsidP="005C65A6">
      <w:pPr>
        <w:pStyle w:val="Subtitle"/>
        <w:jc w:val="left"/>
        <w:rPr>
          <w:color w:val="auto"/>
        </w:rPr>
      </w:pPr>
    </w:p>
    <w:p w:rsidR="005C65A6" w:rsidRPr="00432866" w:rsidRDefault="005C65A6" w:rsidP="005C65A6">
      <w:pPr>
        <w:tabs>
          <w:tab w:val="left" w:pos="1560"/>
        </w:tabs>
        <w:rPr>
          <w:rFonts w:ascii="Arial" w:hAnsi="Arial" w:cs="Arial"/>
          <w:b/>
          <w:u w:val="single"/>
        </w:rPr>
      </w:pPr>
      <w:r w:rsidRPr="00432866">
        <w:rPr>
          <w:rFonts w:ascii="Arial" w:hAnsi="Arial" w:cs="Arial"/>
          <w:b/>
          <w:u w:val="single"/>
        </w:rPr>
        <w:t>Themes and Outcomes of Complaints</w:t>
      </w:r>
    </w:p>
    <w:p w:rsidR="005C65A6" w:rsidRPr="00432866" w:rsidRDefault="005C65A6" w:rsidP="005C65A6">
      <w:pPr>
        <w:tabs>
          <w:tab w:val="left" w:pos="1560"/>
        </w:tabs>
        <w:rPr>
          <w:rFonts w:ascii="Arial" w:hAnsi="Arial" w:cs="Arial"/>
          <w:b/>
          <w:u w:val="single"/>
        </w:rPr>
      </w:pPr>
    </w:p>
    <w:p w:rsidR="005C65A6" w:rsidRDefault="005C65A6" w:rsidP="005C65A6">
      <w:pPr>
        <w:pStyle w:val="Subtitle"/>
        <w:jc w:val="left"/>
        <w:rPr>
          <w:b w:val="0"/>
          <w:color w:val="auto"/>
        </w:rPr>
      </w:pPr>
      <w:r w:rsidRPr="00432866">
        <w:rPr>
          <w:b w:val="0"/>
          <w:color w:val="auto"/>
        </w:rPr>
        <w:t xml:space="preserve">During </w:t>
      </w:r>
      <w:r w:rsidR="00174C5A">
        <w:rPr>
          <w:b w:val="0"/>
          <w:color w:val="auto"/>
        </w:rPr>
        <w:t>Q</w:t>
      </w:r>
      <w:r w:rsidR="004724C0">
        <w:rPr>
          <w:b w:val="0"/>
          <w:color w:val="auto"/>
        </w:rPr>
        <w:t>2</w:t>
      </w:r>
      <w:r w:rsidRPr="00432866">
        <w:rPr>
          <w:b w:val="0"/>
          <w:color w:val="auto"/>
        </w:rPr>
        <w:t xml:space="preserve"> the following themes were identified.</w:t>
      </w:r>
    </w:p>
    <w:p w:rsidR="00620B59" w:rsidRPr="00432866" w:rsidRDefault="00620B59" w:rsidP="005C65A6">
      <w:pPr>
        <w:pStyle w:val="Subtitle"/>
        <w:jc w:val="left"/>
        <w:rPr>
          <w:b w:val="0"/>
          <w:color w:val="auto"/>
        </w:rPr>
      </w:pPr>
    </w:p>
    <w:p w:rsidR="00620B59" w:rsidRPr="00620B59" w:rsidRDefault="00620B59" w:rsidP="005C65A6">
      <w:pPr>
        <w:pStyle w:val="Subtitle"/>
        <w:jc w:val="left"/>
        <w:rPr>
          <w:color w:val="auto"/>
        </w:rPr>
      </w:pPr>
      <w:r w:rsidRPr="00620B59">
        <w:rPr>
          <w:color w:val="auto"/>
        </w:rPr>
        <w:t>Table 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6374"/>
      </w:tblGrid>
      <w:tr w:rsidR="00432866" w:rsidRPr="00432866" w:rsidTr="001323CF">
        <w:trPr>
          <w:trHeight w:val="193"/>
        </w:trPr>
        <w:tc>
          <w:tcPr>
            <w:tcW w:w="22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C65A6" w:rsidRPr="00432866" w:rsidRDefault="001323CF">
            <w:pPr>
              <w:rPr>
                <w:rFonts w:ascii="Arial" w:hAnsi="Arial" w:cs="Arial"/>
                <w:b/>
                <w:bCs/>
              </w:rPr>
            </w:pPr>
            <w:r w:rsidRPr="00432866">
              <w:rPr>
                <w:rFonts w:ascii="Arial" w:hAnsi="Arial" w:cs="Arial"/>
                <w:b/>
                <w:bCs/>
              </w:rPr>
              <w:t>Theme</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C65A6" w:rsidRPr="00432866" w:rsidRDefault="001323CF">
            <w:pPr>
              <w:rPr>
                <w:rFonts w:ascii="Arial" w:hAnsi="Arial" w:cs="Arial"/>
                <w:b/>
                <w:bCs/>
              </w:rPr>
            </w:pPr>
            <w:r w:rsidRPr="00432866">
              <w:rPr>
                <w:rFonts w:ascii="Arial" w:hAnsi="Arial" w:cs="Arial"/>
                <w:b/>
                <w:bCs/>
              </w:rPr>
              <w:t>Number</w:t>
            </w:r>
          </w:p>
        </w:tc>
        <w:tc>
          <w:tcPr>
            <w:tcW w:w="6374" w:type="dxa"/>
            <w:tcBorders>
              <w:top w:val="single" w:sz="4" w:space="0" w:color="auto"/>
              <w:left w:val="single" w:sz="4" w:space="0" w:color="auto"/>
              <w:bottom w:val="single" w:sz="4" w:space="0" w:color="auto"/>
              <w:right w:val="single" w:sz="4" w:space="0" w:color="auto"/>
            </w:tcBorders>
            <w:shd w:val="clear" w:color="auto" w:fill="D9D9D9"/>
          </w:tcPr>
          <w:p w:rsidR="005C65A6" w:rsidRPr="00432866" w:rsidRDefault="001323CF">
            <w:pPr>
              <w:rPr>
                <w:rFonts w:ascii="Arial" w:hAnsi="Arial" w:cs="Arial"/>
                <w:b/>
                <w:bCs/>
              </w:rPr>
            </w:pPr>
            <w:r w:rsidRPr="00432866">
              <w:rPr>
                <w:rFonts w:ascii="Arial" w:hAnsi="Arial" w:cs="Arial"/>
                <w:b/>
                <w:bCs/>
              </w:rPr>
              <w:t>Service</w:t>
            </w:r>
          </w:p>
        </w:tc>
      </w:tr>
      <w:tr w:rsidR="00174C5A" w:rsidRPr="00432866" w:rsidTr="001323CF">
        <w:trPr>
          <w:trHeight w:val="564"/>
        </w:trPr>
        <w:tc>
          <w:tcPr>
            <w:tcW w:w="2268" w:type="dxa"/>
            <w:tcBorders>
              <w:top w:val="single" w:sz="4" w:space="0" w:color="auto"/>
              <w:left w:val="single" w:sz="4" w:space="0" w:color="auto"/>
              <w:bottom w:val="single" w:sz="4" w:space="0" w:color="auto"/>
              <w:right w:val="single" w:sz="4" w:space="0" w:color="auto"/>
            </w:tcBorders>
            <w:noWrap/>
            <w:vAlign w:val="bottom"/>
          </w:tcPr>
          <w:p w:rsidR="00174C5A" w:rsidRPr="00432866" w:rsidRDefault="00174C5A" w:rsidP="00174C5A">
            <w:pPr>
              <w:rPr>
                <w:rFonts w:ascii="Arial" w:hAnsi="Arial" w:cs="Arial"/>
              </w:rPr>
            </w:pPr>
            <w:r w:rsidRPr="00432866">
              <w:rPr>
                <w:rFonts w:ascii="Arial" w:hAnsi="Arial" w:cs="Arial"/>
              </w:rPr>
              <w:t xml:space="preserve">Clinical Treatment </w:t>
            </w:r>
          </w:p>
        </w:tc>
        <w:tc>
          <w:tcPr>
            <w:tcW w:w="1134" w:type="dxa"/>
            <w:tcBorders>
              <w:top w:val="single" w:sz="4" w:space="0" w:color="auto"/>
              <w:left w:val="single" w:sz="4" w:space="0" w:color="auto"/>
              <w:bottom w:val="single" w:sz="4" w:space="0" w:color="auto"/>
              <w:right w:val="single" w:sz="4" w:space="0" w:color="auto"/>
            </w:tcBorders>
            <w:noWrap/>
            <w:vAlign w:val="bottom"/>
          </w:tcPr>
          <w:p w:rsidR="00174C5A" w:rsidRDefault="00916869" w:rsidP="00174C5A">
            <w:pPr>
              <w:jc w:val="center"/>
              <w:rPr>
                <w:rFonts w:ascii="Arial" w:hAnsi="Arial" w:cs="Arial"/>
              </w:rPr>
            </w:pPr>
            <w:r>
              <w:rPr>
                <w:rFonts w:ascii="Arial" w:hAnsi="Arial" w:cs="Arial"/>
              </w:rPr>
              <w:t>8</w:t>
            </w:r>
          </w:p>
        </w:tc>
        <w:tc>
          <w:tcPr>
            <w:tcW w:w="6374" w:type="dxa"/>
            <w:tcBorders>
              <w:top w:val="single" w:sz="4" w:space="0" w:color="auto"/>
              <w:left w:val="single" w:sz="4" w:space="0" w:color="auto"/>
              <w:bottom w:val="single" w:sz="4" w:space="0" w:color="auto"/>
              <w:right w:val="single" w:sz="4" w:space="0" w:color="auto"/>
            </w:tcBorders>
          </w:tcPr>
          <w:p w:rsidR="00174C5A" w:rsidRPr="00432866" w:rsidRDefault="00916869" w:rsidP="00916869">
            <w:pPr>
              <w:rPr>
                <w:rFonts w:ascii="Arial" w:hAnsi="Arial" w:cs="Arial"/>
              </w:rPr>
            </w:pPr>
            <w:r>
              <w:rPr>
                <w:rFonts w:ascii="Arial" w:hAnsi="Arial" w:cs="Arial"/>
              </w:rPr>
              <w:t>Interventional Cardiology (1), Cardiac Services (1</w:t>
            </w:r>
            <w:r w:rsidR="00174C5A" w:rsidRPr="00174C5A">
              <w:rPr>
                <w:rFonts w:ascii="Arial" w:hAnsi="Arial" w:cs="Arial"/>
              </w:rPr>
              <w:t xml:space="preserve">), </w:t>
            </w:r>
            <w:r>
              <w:rPr>
                <w:rFonts w:ascii="Arial" w:hAnsi="Arial" w:cs="Arial"/>
              </w:rPr>
              <w:t>Radiology</w:t>
            </w:r>
            <w:r w:rsidR="00174C5A" w:rsidRPr="00174C5A">
              <w:rPr>
                <w:rFonts w:ascii="Arial" w:hAnsi="Arial" w:cs="Arial"/>
              </w:rPr>
              <w:t xml:space="preserve"> (1), </w:t>
            </w:r>
            <w:r w:rsidRPr="00916869">
              <w:rPr>
                <w:rFonts w:ascii="Arial" w:hAnsi="Arial" w:cs="Arial"/>
              </w:rPr>
              <w:t xml:space="preserve">Anaesthesia - NES </w:t>
            </w:r>
            <w:r>
              <w:rPr>
                <w:rFonts w:ascii="Arial" w:hAnsi="Arial" w:cs="Arial"/>
              </w:rPr>
              <w:t>(1). Ophthalmology (2), Orthopaedic (2</w:t>
            </w:r>
            <w:r w:rsidR="00174C5A" w:rsidRPr="00174C5A">
              <w:rPr>
                <w:rFonts w:ascii="Arial" w:hAnsi="Arial" w:cs="Arial"/>
              </w:rPr>
              <w:t>)</w:t>
            </w:r>
          </w:p>
        </w:tc>
      </w:tr>
      <w:tr w:rsidR="00174C5A" w:rsidRPr="00432866" w:rsidTr="001323CF">
        <w:trPr>
          <w:trHeight w:val="407"/>
        </w:trPr>
        <w:tc>
          <w:tcPr>
            <w:tcW w:w="2268" w:type="dxa"/>
            <w:tcBorders>
              <w:top w:val="single" w:sz="4" w:space="0" w:color="auto"/>
              <w:left w:val="single" w:sz="4" w:space="0" w:color="auto"/>
              <w:bottom w:val="single" w:sz="4" w:space="0" w:color="auto"/>
              <w:right w:val="single" w:sz="4" w:space="0" w:color="auto"/>
            </w:tcBorders>
            <w:noWrap/>
            <w:vAlign w:val="bottom"/>
          </w:tcPr>
          <w:p w:rsidR="00174C5A" w:rsidRPr="00432866" w:rsidRDefault="00174C5A" w:rsidP="00174C5A">
            <w:pPr>
              <w:rPr>
                <w:rFonts w:ascii="Arial" w:hAnsi="Arial" w:cs="Arial"/>
              </w:rPr>
            </w:pPr>
            <w:r>
              <w:rPr>
                <w:rFonts w:ascii="Arial" w:hAnsi="Arial" w:cs="Arial"/>
              </w:rPr>
              <w:t>Cancellation</w:t>
            </w:r>
            <w:r w:rsidR="00916869">
              <w:rPr>
                <w:rFonts w:ascii="Arial" w:hAnsi="Arial" w:cs="Arial"/>
              </w:rPr>
              <w:t xml:space="preserve"> of treatment</w:t>
            </w:r>
          </w:p>
        </w:tc>
        <w:tc>
          <w:tcPr>
            <w:tcW w:w="1134" w:type="dxa"/>
            <w:tcBorders>
              <w:top w:val="single" w:sz="4" w:space="0" w:color="auto"/>
              <w:left w:val="single" w:sz="4" w:space="0" w:color="auto"/>
              <w:bottom w:val="single" w:sz="4" w:space="0" w:color="auto"/>
              <w:right w:val="single" w:sz="4" w:space="0" w:color="auto"/>
            </w:tcBorders>
            <w:noWrap/>
            <w:vAlign w:val="bottom"/>
          </w:tcPr>
          <w:p w:rsidR="00174C5A" w:rsidRPr="00432866" w:rsidRDefault="00916869" w:rsidP="00174C5A">
            <w:pPr>
              <w:jc w:val="center"/>
              <w:rPr>
                <w:rFonts w:ascii="Arial" w:hAnsi="Arial" w:cs="Arial"/>
              </w:rPr>
            </w:pPr>
            <w:r>
              <w:rPr>
                <w:rFonts w:ascii="Arial" w:hAnsi="Arial" w:cs="Arial"/>
              </w:rPr>
              <w:t>5</w:t>
            </w:r>
          </w:p>
        </w:tc>
        <w:tc>
          <w:tcPr>
            <w:tcW w:w="6374" w:type="dxa"/>
            <w:tcBorders>
              <w:top w:val="single" w:sz="4" w:space="0" w:color="auto"/>
              <w:left w:val="single" w:sz="4" w:space="0" w:color="auto"/>
              <w:bottom w:val="single" w:sz="4" w:space="0" w:color="auto"/>
              <w:right w:val="single" w:sz="4" w:space="0" w:color="auto"/>
            </w:tcBorders>
          </w:tcPr>
          <w:p w:rsidR="00174C5A" w:rsidRPr="00432866" w:rsidRDefault="00174C5A" w:rsidP="00916869">
            <w:pPr>
              <w:rPr>
                <w:rFonts w:ascii="Arial" w:hAnsi="Arial" w:cs="Arial"/>
              </w:rPr>
            </w:pPr>
            <w:r w:rsidRPr="00432866">
              <w:rPr>
                <w:rFonts w:ascii="Arial" w:hAnsi="Arial" w:cs="Arial"/>
              </w:rPr>
              <w:t>Ophthalmology (1),</w:t>
            </w:r>
            <w:r>
              <w:rPr>
                <w:rFonts w:ascii="Arial" w:hAnsi="Arial" w:cs="Arial"/>
              </w:rPr>
              <w:t xml:space="preserve"> </w:t>
            </w:r>
            <w:r w:rsidR="00916869">
              <w:rPr>
                <w:rFonts w:ascii="Arial" w:hAnsi="Arial" w:cs="Arial"/>
              </w:rPr>
              <w:t>Orthopaedic (4</w:t>
            </w:r>
            <w:r>
              <w:rPr>
                <w:rFonts w:ascii="Arial" w:hAnsi="Arial" w:cs="Arial"/>
              </w:rPr>
              <w:t>)</w:t>
            </w:r>
          </w:p>
        </w:tc>
      </w:tr>
      <w:tr w:rsidR="00174C5A" w:rsidRPr="00432866" w:rsidTr="00EF77FA">
        <w:trPr>
          <w:trHeight w:val="407"/>
        </w:trPr>
        <w:tc>
          <w:tcPr>
            <w:tcW w:w="2268" w:type="dxa"/>
            <w:tcBorders>
              <w:top w:val="single" w:sz="4" w:space="0" w:color="auto"/>
              <w:left w:val="single" w:sz="4" w:space="0" w:color="auto"/>
              <w:bottom w:val="single" w:sz="4" w:space="0" w:color="auto"/>
              <w:right w:val="single" w:sz="4" w:space="0" w:color="auto"/>
            </w:tcBorders>
            <w:noWrap/>
            <w:vAlign w:val="bottom"/>
          </w:tcPr>
          <w:p w:rsidR="00174C5A" w:rsidRPr="008025B2" w:rsidRDefault="00174C5A" w:rsidP="00174C5A">
            <w:pPr>
              <w:rPr>
                <w:rFonts w:ascii="Arial" w:hAnsi="Arial" w:cs="Arial"/>
              </w:rPr>
            </w:pPr>
            <w:r w:rsidRPr="008025B2">
              <w:rPr>
                <w:rFonts w:ascii="Arial" w:hAnsi="Arial" w:cs="Arial"/>
              </w:rPr>
              <w:t>Communication</w:t>
            </w:r>
          </w:p>
        </w:tc>
        <w:tc>
          <w:tcPr>
            <w:tcW w:w="1134" w:type="dxa"/>
            <w:tcBorders>
              <w:top w:val="single" w:sz="4" w:space="0" w:color="auto"/>
              <w:left w:val="single" w:sz="4" w:space="0" w:color="auto"/>
              <w:bottom w:val="single" w:sz="4" w:space="0" w:color="auto"/>
              <w:right w:val="single" w:sz="4" w:space="0" w:color="auto"/>
            </w:tcBorders>
            <w:noWrap/>
            <w:vAlign w:val="bottom"/>
          </w:tcPr>
          <w:p w:rsidR="00174C5A" w:rsidRPr="008025B2" w:rsidRDefault="00174C5A" w:rsidP="00174C5A">
            <w:pPr>
              <w:jc w:val="center"/>
              <w:rPr>
                <w:rFonts w:ascii="Arial" w:hAnsi="Arial" w:cs="Arial"/>
              </w:rPr>
            </w:pPr>
            <w:r w:rsidRPr="008025B2">
              <w:rPr>
                <w:rFonts w:ascii="Arial" w:hAnsi="Arial" w:cs="Arial"/>
              </w:rPr>
              <w:t>3</w:t>
            </w:r>
          </w:p>
        </w:tc>
        <w:tc>
          <w:tcPr>
            <w:tcW w:w="6374" w:type="dxa"/>
            <w:tcBorders>
              <w:top w:val="single" w:sz="4" w:space="0" w:color="auto"/>
              <w:left w:val="single" w:sz="4" w:space="0" w:color="auto"/>
              <w:bottom w:val="single" w:sz="4" w:space="0" w:color="auto"/>
              <w:right w:val="single" w:sz="4" w:space="0" w:color="auto"/>
            </w:tcBorders>
          </w:tcPr>
          <w:p w:rsidR="00916869" w:rsidRPr="008025B2" w:rsidRDefault="00916869" w:rsidP="00174C5A">
            <w:pPr>
              <w:rPr>
                <w:rFonts w:ascii="Arial" w:hAnsi="Arial" w:cs="Arial"/>
              </w:rPr>
            </w:pPr>
            <w:r>
              <w:rPr>
                <w:rFonts w:ascii="Arial" w:hAnsi="Arial" w:cs="Arial"/>
              </w:rPr>
              <w:t>Interventional Cardiology (1</w:t>
            </w:r>
            <w:r w:rsidR="00174C5A" w:rsidRPr="008025B2">
              <w:rPr>
                <w:rFonts w:ascii="Arial" w:hAnsi="Arial" w:cs="Arial"/>
              </w:rPr>
              <w:t xml:space="preserve">), </w:t>
            </w:r>
            <w:r>
              <w:rPr>
                <w:rFonts w:ascii="Arial" w:hAnsi="Arial" w:cs="Arial"/>
              </w:rPr>
              <w:t>Thoracic</w:t>
            </w:r>
            <w:r w:rsidR="00174C5A" w:rsidRPr="008025B2">
              <w:rPr>
                <w:rFonts w:ascii="Arial" w:hAnsi="Arial" w:cs="Arial"/>
              </w:rPr>
              <w:t xml:space="preserve"> services (1)</w:t>
            </w:r>
            <w:r>
              <w:rPr>
                <w:rFonts w:ascii="Arial" w:hAnsi="Arial" w:cs="Arial"/>
              </w:rPr>
              <w:t>, Radiology (1)</w:t>
            </w:r>
          </w:p>
        </w:tc>
      </w:tr>
      <w:tr w:rsidR="00916869" w:rsidRPr="00432866" w:rsidTr="00EF77FA">
        <w:trPr>
          <w:trHeight w:val="407"/>
        </w:trPr>
        <w:tc>
          <w:tcPr>
            <w:tcW w:w="2268" w:type="dxa"/>
            <w:tcBorders>
              <w:top w:val="single" w:sz="4" w:space="0" w:color="auto"/>
              <w:left w:val="single" w:sz="4" w:space="0" w:color="auto"/>
              <w:bottom w:val="single" w:sz="4" w:space="0" w:color="auto"/>
              <w:right w:val="single" w:sz="4" w:space="0" w:color="auto"/>
            </w:tcBorders>
            <w:noWrap/>
            <w:vAlign w:val="bottom"/>
          </w:tcPr>
          <w:p w:rsidR="00916869" w:rsidRPr="00432866" w:rsidRDefault="00916869" w:rsidP="00916869">
            <w:pPr>
              <w:rPr>
                <w:rFonts w:ascii="Arial" w:hAnsi="Arial" w:cs="Arial"/>
              </w:rPr>
            </w:pPr>
            <w:r w:rsidRPr="00432866">
              <w:rPr>
                <w:rFonts w:ascii="Arial" w:hAnsi="Arial" w:cs="Arial"/>
              </w:rPr>
              <w:t>Waiting List</w:t>
            </w:r>
          </w:p>
        </w:tc>
        <w:tc>
          <w:tcPr>
            <w:tcW w:w="1134" w:type="dxa"/>
            <w:tcBorders>
              <w:top w:val="single" w:sz="4" w:space="0" w:color="auto"/>
              <w:left w:val="single" w:sz="4" w:space="0" w:color="auto"/>
              <w:bottom w:val="single" w:sz="4" w:space="0" w:color="auto"/>
              <w:right w:val="single" w:sz="4" w:space="0" w:color="auto"/>
            </w:tcBorders>
            <w:noWrap/>
            <w:vAlign w:val="bottom"/>
          </w:tcPr>
          <w:p w:rsidR="00916869" w:rsidRPr="00432866" w:rsidRDefault="00916869" w:rsidP="00916869">
            <w:pPr>
              <w:jc w:val="center"/>
              <w:rPr>
                <w:rFonts w:ascii="Arial" w:hAnsi="Arial" w:cs="Arial"/>
              </w:rPr>
            </w:pPr>
            <w:r>
              <w:rPr>
                <w:rFonts w:ascii="Arial" w:hAnsi="Arial" w:cs="Arial"/>
              </w:rPr>
              <w:t>3</w:t>
            </w:r>
          </w:p>
        </w:tc>
        <w:tc>
          <w:tcPr>
            <w:tcW w:w="6374" w:type="dxa"/>
            <w:tcBorders>
              <w:top w:val="single" w:sz="4" w:space="0" w:color="auto"/>
              <w:left w:val="single" w:sz="4" w:space="0" w:color="auto"/>
              <w:bottom w:val="single" w:sz="4" w:space="0" w:color="auto"/>
              <w:right w:val="single" w:sz="4" w:space="0" w:color="auto"/>
            </w:tcBorders>
          </w:tcPr>
          <w:p w:rsidR="00916869" w:rsidRPr="00432866" w:rsidRDefault="00916869" w:rsidP="00916869">
            <w:pPr>
              <w:rPr>
                <w:rFonts w:ascii="Arial" w:hAnsi="Arial" w:cs="Arial"/>
              </w:rPr>
            </w:pPr>
            <w:r>
              <w:rPr>
                <w:rFonts w:ascii="Arial" w:hAnsi="Arial" w:cs="Arial"/>
              </w:rPr>
              <w:t xml:space="preserve">Interventional Cardiology (2), </w:t>
            </w:r>
            <w:r w:rsidRPr="00432866">
              <w:rPr>
                <w:rFonts w:ascii="Arial" w:hAnsi="Arial" w:cs="Arial"/>
              </w:rPr>
              <w:t>Orthopaedic (</w:t>
            </w:r>
            <w:r>
              <w:rPr>
                <w:rFonts w:ascii="Arial" w:hAnsi="Arial" w:cs="Arial"/>
              </w:rPr>
              <w:t>1</w:t>
            </w:r>
            <w:r w:rsidRPr="00432866">
              <w:rPr>
                <w:rFonts w:ascii="Arial" w:hAnsi="Arial" w:cs="Arial"/>
              </w:rPr>
              <w:t>)</w:t>
            </w:r>
            <w:r>
              <w:rPr>
                <w:rFonts w:ascii="Arial" w:hAnsi="Arial" w:cs="Arial"/>
              </w:rPr>
              <w:t xml:space="preserve">, </w:t>
            </w:r>
          </w:p>
        </w:tc>
      </w:tr>
    </w:tbl>
    <w:p w:rsidR="005C65A6" w:rsidRPr="00432866" w:rsidRDefault="005C65A6" w:rsidP="005C65A6">
      <w:pPr>
        <w:pStyle w:val="Subtitle"/>
        <w:jc w:val="left"/>
        <w:rPr>
          <w:b w:val="0"/>
          <w:color w:val="auto"/>
        </w:rPr>
      </w:pPr>
    </w:p>
    <w:p w:rsidR="005C65A6" w:rsidRPr="00432866" w:rsidRDefault="008025B2" w:rsidP="005C65A6">
      <w:pPr>
        <w:pStyle w:val="Subtitle"/>
        <w:jc w:val="left"/>
        <w:rPr>
          <w:b w:val="0"/>
          <w:color w:val="auto"/>
        </w:rPr>
      </w:pPr>
      <w:r>
        <w:rPr>
          <w:b w:val="0"/>
          <w:color w:val="auto"/>
        </w:rPr>
        <w:t xml:space="preserve">The top common themes remains consistent. </w:t>
      </w:r>
    </w:p>
    <w:p w:rsidR="005C65A6" w:rsidRPr="00432866" w:rsidRDefault="005C65A6" w:rsidP="005C65A6">
      <w:pPr>
        <w:pStyle w:val="Subtitle"/>
        <w:jc w:val="left"/>
        <w:rPr>
          <w:b w:val="0"/>
          <w:color w:val="auto"/>
        </w:rPr>
      </w:pPr>
    </w:p>
    <w:p w:rsidR="005C65A6" w:rsidRPr="00432866" w:rsidRDefault="008025B2" w:rsidP="005C65A6">
      <w:pPr>
        <w:pStyle w:val="Subtitle"/>
        <w:numPr>
          <w:ilvl w:val="0"/>
          <w:numId w:val="9"/>
        </w:numPr>
        <w:jc w:val="left"/>
        <w:rPr>
          <w:color w:val="auto"/>
          <w:u w:val="single"/>
        </w:rPr>
      </w:pPr>
      <w:r>
        <w:rPr>
          <w:color w:val="auto"/>
          <w:u w:val="single"/>
        </w:rPr>
        <w:t xml:space="preserve">Feedback </w:t>
      </w:r>
    </w:p>
    <w:p w:rsidR="005C65A6" w:rsidRPr="00432866" w:rsidRDefault="00023D3F" w:rsidP="005C65A6">
      <w:pPr>
        <w:pStyle w:val="Subtitle"/>
        <w:jc w:val="left"/>
        <w:rPr>
          <w:b w:val="0"/>
          <w:color w:val="auto"/>
        </w:rPr>
      </w:pPr>
      <w:r>
        <w:rPr>
          <w:b w:val="0"/>
          <w:color w:val="auto"/>
        </w:rPr>
        <w:t>During Quarter 2</w:t>
      </w:r>
      <w:r w:rsidR="005C65A6" w:rsidRPr="00432866">
        <w:rPr>
          <w:b w:val="0"/>
          <w:color w:val="auto"/>
        </w:rPr>
        <w:t xml:space="preserve"> there </w:t>
      </w:r>
      <w:r w:rsidR="008025B2">
        <w:rPr>
          <w:b w:val="0"/>
          <w:color w:val="auto"/>
        </w:rPr>
        <w:t>were 4</w:t>
      </w:r>
      <w:r w:rsidR="00916869">
        <w:rPr>
          <w:b w:val="0"/>
          <w:color w:val="auto"/>
        </w:rPr>
        <w:t>9</w:t>
      </w:r>
      <w:r w:rsidR="001866E3" w:rsidRPr="00432866">
        <w:rPr>
          <w:b w:val="0"/>
          <w:color w:val="auto"/>
        </w:rPr>
        <w:t xml:space="preserve"> compliments </w:t>
      </w:r>
      <w:r w:rsidR="00B44D80">
        <w:rPr>
          <w:b w:val="0"/>
          <w:color w:val="auto"/>
        </w:rPr>
        <w:t xml:space="preserve">logged, </w:t>
      </w:r>
      <w:r w:rsidR="005C65A6" w:rsidRPr="00432866">
        <w:rPr>
          <w:b w:val="0"/>
          <w:color w:val="auto"/>
        </w:rPr>
        <w:t xml:space="preserve">below is all </w:t>
      </w:r>
      <w:r w:rsidR="005F2658">
        <w:rPr>
          <w:b w:val="0"/>
          <w:color w:val="auto"/>
        </w:rPr>
        <w:t xml:space="preserve">feedback </w:t>
      </w:r>
      <w:r w:rsidR="00B44D80">
        <w:rPr>
          <w:b w:val="0"/>
          <w:color w:val="auto"/>
        </w:rPr>
        <w:t>received during the q</w:t>
      </w:r>
      <w:r>
        <w:rPr>
          <w:b w:val="0"/>
          <w:color w:val="auto"/>
        </w:rPr>
        <w:t>uarter</w:t>
      </w:r>
      <w:r w:rsidR="00B44D80">
        <w:rPr>
          <w:b w:val="0"/>
          <w:color w:val="auto"/>
        </w:rPr>
        <w:t>.</w:t>
      </w:r>
    </w:p>
    <w:p w:rsidR="005C65A6" w:rsidRPr="00432866" w:rsidRDefault="005C65A6" w:rsidP="005C65A6">
      <w:pPr>
        <w:pStyle w:val="Subtitle"/>
        <w:jc w:val="left"/>
        <w:rPr>
          <w:b w:val="0"/>
          <w:color w:val="auto"/>
        </w:rPr>
      </w:pPr>
    </w:p>
    <w:p w:rsidR="005C65A6" w:rsidRPr="00432866" w:rsidRDefault="005C65A6" w:rsidP="005C65A6">
      <w:pPr>
        <w:pStyle w:val="Subtitle"/>
        <w:jc w:val="left"/>
        <w:rPr>
          <w:color w:val="auto"/>
          <w:u w:val="single"/>
        </w:rPr>
      </w:pPr>
      <w:r w:rsidRPr="00432866">
        <w:rPr>
          <w:b w:val="0"/>
          <w:color w:val="auto"/>
        </w:rPr>
        <w:t xml:space="preserve">The below chart shows that compliments were the highest during this period. </w:t>
      </w:r>
    </w:p>
    <w:p w:rsidR="005C65A6" w:rsidRPr="00432866" w:rsidRDefault="005C65A6" w:rsidP="005C65A6">
      <w:pPr>
        <w:rPr>
          <w:rFonts w:ascii="Arial" w:hAnsi="Arial" w:cs="Arial"/>
          <w:b/>
        </w:rPr>
      </w:pPr>
    </w:p>
    <w:p w:rsidR="005C65A6" w:rsidRPr="00432866" w:rsidRDefault="005C65A6" w:rsidP="005C65A6">
      <w:pPr>
        <w:rPr>
          <w:rFonts w:ascii="Arial" w:hAnsi="Arial" w:cs="Arial"/>
          <w:b/>
        </w:rPr>
      </w:pPr>
      <w:r w:rsidRPr="00432866">
        <w:rPr>
          <w:rFonts w:ascii="Arial" w:hAnsi="Arial" w:cs="Arial"/>
          <w:b/>
        </w:rPr>
        <w:t xml:space="preserve">Figure 1 </w:t>
      </w:r>
    </w:p>
    <w:p w:rsidR="005C65A6" w:rsidRPr="00432866" w:rsidRDefault="00AF6335" w:rsidP="00AF6335">
      <w:pPr>
        <w:pStyle w:val="Subtitle"/>
        <w:spacing w:after="240"/>
        <w:rPr>
          <w:b w:val="0"/>
          <w:color w:val="auto"/>
        </w:rPr>
      </w:pPr>
      <w:r>
        <w:rPr>
          <w:noProof/>
          <w:lang w:eastAsia="en-GB"/>
        </w:rPr>
        <w:drawing>
          <wp:inline distT="0" distB="0" distL="0" distR="0" wp14:anchorId="6030F3F9" wp14:editId="683A818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7592" w:rsidRDefault="005F2658" w:rsidP="007B595F">
      <w:pPr>
        <w:pStyle w:val="Subtitle"/>
        <w:jc w:val="left"/>
        <w:rPr>
          <w:b w:val="0"/>
          <w:color w:val="auto"/>
        </w:rPr>
      </w:pPr>
      <w:r>
        <w:rPr>
          <w:b w:val="0"/>
          <w:color w:val="auto"/>
        </w:rPr>
        <w:t xml:space="preserve">Common theme from compliments is patients wish to </w:t>
      </w:r>
      <w:r w:rsidR="005E304A">
        <w:rPr>
          <w:b w:val="0"/>
          <w:color w:val="auto"/>
        </w:rPr>
        <w:t xml:space="preserve">thank staff for the care and treatment they received. </w:t>
      </w:r>
    </w:p>
    <w:p w:rsidR="005F2658" w:rsidRDefault="005F2658" w:rsidP="005C65A6">
      <w:pPr>
        <w:pStyle w:val="Subtitle"/>
        <w:ind w:left="720"/>
        <w:jc w:val="left"/>
        <w:rPr>
          <w:b w:val="0"/>
          <w:color w:val="auto"/>
        </w:rPr>
      </w:pPr>
    </w:p>
    <w:p w:rsidR="007B595F" w:rsidRPr="00432866" w:rsidRDefault="007B595F" w:rsidP="005C65A6">
      <w:pPr>
        <w:pStyle w:val="Subtitle"/>
        <w:ind w:left="720"/>
        <w:jc w:val="left"/>
        <w:rPr>
          <w:b w:val="0"/>
          <w:color w:val="auto"/>
        </w:rPr>
      </w:pPr>
    </w:p>
    <w:p w:rsidR="005C65A6" w:rsidRPr="00432866" w:rsidRDefault="005C65A6" w:rsidP="005C65A6">
      <w:pPr>
        <w:pStyle w:val="Subtitle"/>
        <w:jc w:val="left"/>
        <w:rPr>
          <w:color w:val="auto"/>
        </w:rPr>
      </w:pPr>
    </w:p>
    <w:p w:rsidR="005C65A6" w:rsidRPr="00432866" w:rsidRDefault="005C65A6" w:rsidP="005C65A6">
      <w:pPr>
        <w:pStyle w:val="Subtitle"/>
        <w:widowControl w:val="0"/>
        <w:numPr>
          <w:ilvl w:val="0"/>
          <w:numId w:val="9"/>
        </w:numPr>
        <w:jc w:val="left"/>
        <w:rPr>
          <w:color w:val="auto"/>
          <w:u w:val="single"/>
        </w:rPr>
      </w:pPr>
      <w:r w:rsidRPr="00432866">
        <w:rPr>
          <w:color w:val="auto"/>
          <w:u w:val="single"/>
        </w:rPr>
        <w:lastRenderedPageBreak/>
        <w:t xml:space="preserve">SPSO Complaints </w:t>
      </w:r>
    </w:p>
    <w:p w:rsidR="005C65A6" w:rsidRPr="00432866" w:rsidRDefault="005C65A6" w:rsidP="005C65A6">
      <w:pPr>
        <w:pStyle w:val="Subtitle"/>
        <w:ind w:left="360"/>
        <w:jc w:val="left"/>
        <w:rPr>
          <w:color w:val="auto"/>
        </w:rPr>
      </w:pPr>
    </w:p>
    <w:p w:rsidR="005C65A6" w:rsidRPr="00432866" w:rsidRDefault="00783568" w:rsidP="005C65A6">
      <w:pPr>
        <w:pStyle w:val="Subtitle"/>
        <w:widowControl w:val="0"/>
        <w:jc w:val="left"/>
        <w:rPr>
          <w:b w:val="0"/>
          <w:color w:val="auto"/>
        </w:rPr>
      </w:pPr>
      <w:r>
        <w:rPr>
          <w:b w:val="0"/>
          <w:color w:val="auto"/>
        </w:rPr>
        <w:t>There is one</w:t>
      </w:r>
      <w:r w:rsidR="005E304A">
        <w:rPr>
          <w:b w:val="0"/>
          <w:color w:val="auto"/>
        </w:rPr>
        <w:t xml:space="preserve"> new</w:t>
      </w:r>
      <w:r>
        <w:rPr>
          <w:b w:val="0"/>
          <w:color w:val="auto"/>
        </w:rPr>
        <w:t xml:space="preserve"> SPSO request</w:t>
      </w:r>
      <w:r w:rsidR="000F19EC">
        <w:rPr>
          <w:b w:val="0"/>
          <w:color w:val="auto"/>
        </w:rPr>
        <w:t xml:space="preserve"> (3437)</w:t>
      </w:r>
      <w:r w:rsidR="005C65A6" w:rsidRPr="00432866">
        <w:rPr>
          <w:b w:val="0"/>
          <w:color w:val="auto"/>
        </w:rPr>
        <w:t xml:space="preserve"> since the last report and none closed. </w:t>
      </w:r>
    </w:p>
    <w:p w:rsidR="005C65A6" w:rsidRPr="00432866" w:rsidRDefault="005C65A6" w:rsidP="005C65A6">
      <w:pPr>
        <w:pStyle w:val="Subtitle"/>
        <w:widowControl w:val="0"/>
        <w:jc w:val="left"/>
        <w:rPr>
          <w:color w:val="auto"/>
        </w:rPr>
      </w:pPr>
    </w:p>
    <w:tbl>
      <w:tblPr>
        <w:tblpPr w:leftFromText="180" w:rightFromText="180" w:vertAnchor="text" w:horzAnchor="margin" w:tblpY="364"/>
        <w:tblW w:w="9493" w:type="dxa"/>
        <w:tblLook w:val="04A0" w:firstRow="1" w:lastRow="0" w:firstColumn="1" w:lastColumn="0" w:noHBand="0" w:noVBand="1"/>
      </w:tblPr>
      <w:tblGrid>
        <w:gridCol w:w="750"/>
        <w:gridCol w:w="844"/>
        <w:gridCol w:w="1418"/>
        <w:gridCol w:w="1629"/>
        <w:gridCol w:w="1217"/>
        <w:gridCol w:w="2217"/>
        <w:gridCol w:w="1418"/>
      </w:tblGrid>
      <w:tr w:rsidR="00432866" w:rsidRPr="00AF6335" w:rsidTr="00AF6335">
        <w:trPr>
          <w:trHeight w:val="619"/>
        </w:trPr>
        <w:tc>
          <w:tcPr>
            <w:tcW w:w="7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ID</w:t>
            </w:r>
          </w:p>
        </w:tc>
        <w:tc>
          <w:tcPr>
            <w:tcW w:w="844"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Type</w:t>
            </w:r>
          </w:p>
        </w:tc>
        <w:tc>
          <w:tcPr>
            <w:tcW w:w="1418"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First received</w:t>
            </w:r>
          </w:p>
        </w:tc>
        <w:tc>
          <w:tcPr>
            <w:tcW w:w="1629"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Description</w:t>
            </w:r>
          </w:p>
        </w:tc>
        <w:tc>
          <w:tcPr>
            <w:tcW w:w="1217"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Final outcome</w:t>
            </w:r>
          </w:p>
        </w:tc>
        <w:tc>
          <w:tcPr>
            <w:tcW w:w="2217"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 xml:space="preserve">Current Stage </w:t>
            </w:r>
          </w:p>
        </w:tc>
        <w:tc>
          <w:tcPr>
            <w:tcW w:w="1418" w:type="dxa"/>
            <w:tcBorders>
              <w:top w:val="single" w:sz="4" w:space="0" w:color="000000"/>
              <w:left w:val="nil"/>
              <w:bottom w:val="single" w:sz="4" w:space="0" w:color="000000"/>
              <w:right w:val="single" w:sz="4" w:space="0" w:color="000000"/>
            </w:tcBorders>
            <w:shd w:val="clear" w:color="auto" w:fill="BFBFBF"/>
            <w:vAlign w:val="center"/>
            <w:hideMark/>
          </w:tcPr>
          <w:p w:rsidR="005C65A6" w:rsidRPr="00AF6335" w:rsidRDefault="005C65A6">
            <w:pPr>
              <w:rPr>
                <w:rFonts w:ascii="Arial" w:hAnsi="Arial" w:cs="Arial"/>
                <w:b/>
              </w:rPr>
            </w:pPr>
            <w:r w:rsidRPr="00AF6335">
              <w:rPr>
                <w:rFonts w:ascii="Arial" w:hAnsi="Arial" w:cs="Arial"/>
                <w:b/>
              </w:rPr>
              <w:t>Date requested by SPSO</w:t>
            </w:r>
          </w:p>
        </w:tc>
      </w:tr>
      <w:tr w:rsidR="00432866" w:rsidRPr="00AF6335" w:rsidTr="00AF6335">
        <w:trPr>
          <w:trHeight w:val="619"/>
        </w:trPr>
        <w:tc>
          <w:tcPr>
            <w:tcW w:w="750" w:type="dxa"/>
            <w:tcBorders>
              <w:top w:val="single" w:sz="4" w:space="0" w:color="000000"/>
              <w:left w:val="single" w:sz="4" w:space="0" w:color="000000"/>
              <w:bottom w:val="single" w:sz="4" w:space="0" w:color="000000"/>
              <w:right w:val="single" w:sz="4" w:space="0" w:color="000000"/>
            </w:tcBorders>
            <w:vAlign w:val="center"/>
            <w:hideMark/>
          </w:tcPr>
          <w:p w:rsidR="0035190C" w:rsidRPr="00AF6335" w:rsidRDefault="0023672F" w:rsidP="0035190C">
            <w:pPr>
              <w:rPr>
                <w:rFonts w:ascii="Arial" w:hAnsi="Arial" w:cs="Arial"/>
              </w:rPr>
            </w:pPr>
            <w:r w:rsidRPr="00AF6335">
              <w:rPr>
                <w:rFonts w:ascii="Arial" w:hAnsi="Arial" w:cs="Arial"/>
                <w:color w:val="000000"/>
                <w:shd w:val="clear" w:color="auto" w:fill="F5F9FF"/>
              </w:rPr>
              <w:t>3517</w:t>
            </w:r>
          </w:p>
        </w:tc>
        <w:tc>
          <w:tcPr>
            <w:tcW w:w="844" w:type="dxa"/>
            <w:tcBorders>
              <w:top w:val="single" w:sz="4" w:space="0" w:color="000000"/>
              <w:left w:val="nil"/>
              <w:bottom w:val="single" w:sz="4" w:space="0" w:color="000000"/>
              <w:right w:val="single" w:sz="4" w:space="0" w:color="000000"/>
            </w:tcBorders>
            <w:vAlign w:val="center"/>
            <w:hideMark/>
          </w:tcPr>
          <w:p w:rsidR="0035190C" w:rsidRPr="00AF6335" w:rsidRDefault="0035190C" w:rsidP="0035190C">
            <w:pPr>
              <w:jc w:val="center"/>
              <w:rPr>
                <w:rFonts w:ascii="Arial" w:hAnsi="Arial" w:cs="Arial"/>
              </w:rPr>
            </w:pPr>
            <w:r w:rsidRPr="00AF6335">
              <w:rPr>
                <w:rFonts w:ascii="Arial" w:hAnsi="Arial" w:cs="Arial"/>
              </w:rPr>
              <w:t xml:space="preserve">Stage 2 </w:t>
            </w:r>
          </w:p>
        </w:tc>
        <w:tc>
          <w:tcPr>
            <w:tcW w:w="1418" w:type="dxa"/>
            <w:tcBorders>
              <w:top w:val="single" w:sz="4" w:space="0" w:color="000000"/>
              <w:left w:val="nil"/>
              <w:bottom w:val="single" w:sz="4" w:space="0" w:color="000000"/>
              <w:right w:val="single" w:sz="4" w:space="0" w:color="000000"/>
            </w:tcBorders>
            <w:vAlign w:val="center"/>
            <w:hideMark/>
          </w:tcPr>
          <w:p w:rsidR="0035190C" w:rsidRPr="00AF6335" w:rsidRDefault="0023672F" w:rsidP="0035190C">
            <w:pPr>
              <w:rPr>
                <w:rFonts w:ascii="Arial" w:hAnsi="Arial" w:cs="Arial"/>
              </w:rPr>
            </w:pPr>
            <w:r w:rsidRPr="00AF6335">
              <w:rPr>
                <w:rFonts w:ascii="Arial" w:hAnsi="Arial" w:cs="Arial"/>
              </w:rPr>
              <w:t>01/12/2023</w:t>
            </w:r>
          </w:p>
        </w:tc>
        <w:tc>
          <w:tcPr>
            <w:tcW w:w="1629" w:type="dxa"/>
            <w:tcBorders>
              <w:top w:val="single" w:sz="4" w:space="0" w:color="000000"/>
              <w:left w:val="nil"/>
              <w:bottom w:val="single" w:sz="4" w:space="0" w:color="000000"/>
              <w:right w:val="single" w:sz="4" w:space="0" w:color="000000"/>
            </w:tcBorders>
            <w:vAlign w:val="center"/>
            <w:hideMark/>
          </w:tcPr>
          <w:p w:rsidR="0035190C" w:rsidRPr="00AF6335" w:rsidRDefault="0035190C" w:rsidP="0023672F">
            <w:pPr>
              <w:rPr>
                <w:rFonts w:ascii="Arial" w:hAnsi="Arial" w:cs="Arial"/>
                <w:b/>
              </w:rPr>
            </w:pPr>
            <w:r w:rsidRPr="00AF6335">
              <w:rPr>
                <w:rFonts w:ascii="Arial" w:hAnsi="Arial" w:cs="Arial"/>
                <w:bdr w:val="none" w:sz="0" w:space="0" w:color="auto" w:frame="1"/>
              </w:rPr>
              <w:t>P</w:t>
            </w:r>
            <w:r w:rsidR="0023672F" w:rsidRPr="00AF6335">
              <w:rPr>
                <w:rFonts w:ascii="Arial" w:hAnsi="Arial" w:cs="Arial"/>
                <w:bdr w:val="none" w:sz="0" w:space="0" w:color="auto" w:frame="1"/>
              </w:rPr>
              <w:t>a</w:t>
            </w:r>
            <w:r w:rsidRPr="00AF6335">
              <w:rPr>
                <w:rFonts w:ascii="Arial" w:hAnsi="Arial" w:cs="Arial"/>
                <w:bdr w:val="none" w:sz="0" w:space="0" w:color="auto" w:frame="1"/>
              </w:rPr>
              <w:t>t</w:t>
            </w:r>
            <w:r w:rsidR="0023672F" w:rsidRPr="00AF6335">
              <w:rPr>
                <w:rFonts w:ascii="Arial" w:hAnsi="Arial" w:cs="Arial"/>
                <w:bdr w:val="none" w:sz="0" w:space="0" w:color="auto" w:frame="1"/>
              </w:rPr>
              <w:t>ient</w:t>
            </w:r>
            <w:r w:rsidRPr="00AF6335">
              <w:rPr>
                <w:rFonts w:ascii="Arial" w:hAnsi="Arial" w:cs="Arial"/>
                <w:bdr w:val="none" w:sz="0" w:space="0" w:color="auto" w:frame="1"/>
              </w:rPr>
              <w:t xml:space="preserve"> </w:t>
            </w:r>
            <w:r w:rsidR="00BF7C7F" w:rsidRPr="00AF6335">
              <w:rPr>
                <w:rFonts w:ascii="Arial" w:hAnsi="Arial" w:cs="Arial"/>
                <w:bdr w:val="none" w:sz="0" w:space="0" w:color="auto" w:frame="1"/>
              </w:rPr>
              <w:t>multiple</w:t>
            </w:r>
            <w:r w:rsidR="0023672F" w:rsidRPr="00AF6335">
              <w:rPr>
                <w:rFonts w:ascii="Arial" w:hAnsi="Arial" w:cs="Arial"/>
                <w:bdr w:val="none" w:sz="0" w:space="0" w:color="auto" w:frame="1"/>
              </w:rPr>
              <w:t xml:space="preserve"> foot and ankle surgeries</w:t>
            </w:r>
          </w:p>
        </w:tc>
        <w:tc>
          <w:tcPr>
            <w:tcW w:w="1217" w:type="dxa"/>
            <w:tcBorders>
              <w:top w:val="single" w:sz="4" w:space="0" w:color="000000"/>
              <w:left w:val="nil"/>
              <w:bottom w:val="single" w:sz="4" w:space="0" w:color="000000"/>
              <w:right w:val="single" w:sz="4" w:space="0" w:color="000000"/>
            </w:tcBorders>
            <w:vAlign w:val="center"/>
            <w:hideMark/>
          </w:tcPr>
          <w:p w:rsidR="0035190C" w:rsidRPr="00AF6335" w:rsidRDefault="0035190C" w:rsidP="0035190C">
            <w:pPr>
              <w:rPr>
                <w:rFonts w:ascii="Arial" w:hAnsi="Arial" w:cs="Arial"/>
              </w:rPr>
            </w:pPr>
            <w:r w:rsidRPr="00AF6335">
              <w:rPr>
                <w:rFonts w:ascii="Arial" w:hAnsi="Arial" w:cs="Arial"/>
              </w:rPr>
              <w:t>Partially Upheld</w:t>
            </w:r>
          </w:p>
        </w:tc>
        <w:tc>
          <w:tcPr>
            <w:tcW w:w="2217" w:type="dxa"/>
            <w:tcBorders>
              <w:top w:val="single" w:sz="4" w:space="0" w:color="000000"/>
              <w:left w:val="nil"/>
              <w:bottom w:val="single" w:sz="4" w:space="0" w:color="000000"/>
              <w:right w:val="single" w:sz="4" w:space="0" w:color="000000"/>
            </w:tcBorders>
            <w:vAlign w:val="center"/>
            <w:hideMark/>
          </w:tcPr>
          <w:p w:rsidR="0035190C" w:rsidRPr="00AF6335" w:rsidRDefault="0035190C" w:rsidP="00B44D80">
            <w:pPr>
              <w:rPr>
                <w:rFonts w:ascii="Arial" w:hAnsi="Arial" w:cs="Arial"/>
              </w:rPr>
            </w:pPr>
            <w:r w:rsidRPr="00AF6335">
              <w:rPr>
                <w:rFonts w:ascii="Arial" w:hAnsi="Arial" w:cs="Arial"/>
              </w:rPr>
              <w:t xml:space="preserve">SPSO </w:t>
            </w:r>
            <w:r w:rsidR="00FF4575">
              <w:rPr>
                <w:rFonts w:ascii="Arial" w:hAnsi="Arial" w:cs="Arial"/>
              </w:rPr>
              <w:t xml:space="preserve">level </w:t>
            </w:r>
            <w:r w:rsidR="00B44D80">
              <w:rPr>
                <w:rFonts w:ascii="Arial" w:hAnsi="Arial" w:cs="Arial"/>
              </w:rPr>
              <w:t>2</w:t>
            </w:r>
            <w:r w:rsidR="002469F5" w:rsidRPr="00AF6335">
              <w:rPr>
                <w:rFonts w:ascii="Arial" w:hAnsi="Arial" w:cs="Arial"/>
              </w:rPr>
              <w:t xml:space="preserve"> - </w:t>
            </w:r>
            <w:r w:rsidR="0023672F" w:rsidRPr="00AF6335">
              <w:rPr>
                <w:rFonts w:ascii="Arial" w:hAnsi="Arial" w:cs="Arial"/>
              </w:rPr>
              <w:t>Recommendations being implemented.</w:t>
            </w:r>
          </w:p>
        </w:tc>
        <w:tc>
          <w:tcPr>
            <w:tcW w:w="1418" w:type="dxa"/>
            <w:tcBorders>
              <w:top w:val="single" w:sz="4" w:space="0" w:color="000000"/>
              <w:left w:val="nil"/>
              <w:bottom w:val="single" w:sz="4" w:space="0" w:color="000000"/>
              <w:right w:val="single" w:sz="4" w:space="0" w:color="000000"/>
            </w:tcBorders>
            <w:vAlign w:val="center"/>
            <w:hideMark/>
          </w:tcPr>
          <w:p w:rsidR="0035190C" w:rsidRPr="00AF6335" w:rsidRDefault="00FF4575" w:rsidP="00B44D80">
            <w:pPr>
              <w:rPr>
                <w:rFonts w:ascii="Arial" w:hAnsi="Arial" w:cs="Arial"/>
              </w:rPr>
            </w:pPr>
            <w:r>
              <w:rPr>
                <w:rFonts w:ascii="Arial" w:hAnsi="Arial" w:cs="Arial"/>
              </w:rPr>
              <w:t xml:space="preserve"> 17/12</w:t>
            </w:r>
            <w:r w:rsidR="00AF6335" w:rsidRPr="00AF6335">
              <w:rPr>
                <w:rFonts w:ascii="Arial" w:hAnsi="Arial" w:cs="Arial"/>
              </w:rPr>
              <w:t>/2025</w:t>
            </w:r>
          </w:p>
        </w:tc>
      </w:tr>
      <w:tr w:rsidR="00432866" w:rsidRPr="00AF6335" w:rsidTr="00AF6335">
        <w:trPr>
          <w:trHeight w:val="6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5C65A6" w:rsidRPr="00AF6335" w:rsidRDefault="0023672F">
            <w:pPr>
              <w:rPr>
                <w:rFonts w:ascii="Arial" w:hAnsi="Arial" w:cs="Arial"/>
                <w:color w:val="000000" w:themeColor="text1"/>
              </w:rPr>
            </w:pPr>
            <w:r w:rsidRPr="00AF6335">
              <w:rPr>
                <w:rFonts w:ascii="Arial" w:hAnsi="Arial" w:cs="Arial"/>
                <w:color w:val="000000" w:themeColor="text1"/>
              </w:rPr>
              <w:t>3806</w:t>
            </w:r>
          </w:p>
        </w:tc>
        <w:tc>
          <w:tcPr>
            <w:tcW w:w="844" w:type="dxa"/>
            <w:tcBorders>
              <w:top w:val="single" w:sz="4" w:space="0" w:color="000000"/>
              <w:left w:val="nil"/>
              <w:bottom w:val="single" w:sz="4" w:space="0" w:color="000000"/>
              <w:right w:val="single" w:sz="4" w:space="0" w:color="000000"/>
            </w:tcBorders>
            <w:vAlign w:val="center"/>
            <w:hideMark/>
          </w:tcPr>
          <w:p w:rsidR="005C65A6" w:rsidRPr="00AF6335" w:rsidRDefault="005C65A6">
            <w:pPr>
              <w:jc w:val="center"/>
              <w:rPr>
                <w:rFonts w:ascii="Arial" w:hAnsi="Arial" w:cs="Arial"/>
                <w:color w:val="000000" w:themeColor="text1"/>
              </w:rPr>
            </w:pPr>
            <w:r w:rsidRPr="00AF6335">
              <w:rPr>
                <w:rFonts w:ascii="Arial" w:hAnsi="Arial" w:cs="Arial"/>
                <w:color w:val="000000" w:themeColor="text1"/>
              </w:rPr>
              <w:t>Stage 2</w:t>
            </w:r>
          </w:p>
        </w:tc>
        <w:tc>
          <w:tcPr>
            <w:tcW w:w="1418" w:type="dxa"/>
            <w:tcBorders>
              <w:top w:val="single" w:sz="4" w:space="0" w:color="000000"/>
              <w:left w:val="nil"/>
              <w:bottom w:val="single" w:sz="4" w:space="0" w:color="000000"/>
              <w:right w:val="single" w:sz="4" w:space="0" w:color="000000"/>
            </w:tcBorders>
            <w:vAlign w:val="center"/>
            <w:hideMark/>
          </w:tcPr>
          <w:p w:rsidR="005C65A6" w:rsidRPr="00AF6335" w:rsidRDefault="0023672F">
            <w:pPr>
              <w:rPr>
                <w:rFonts w:ascii="Arial" w:hAnsi="Arial" w:cs="Arial"/>
                <w:color w:val="000000" w:themeColor="text1"/>
              </w:rPr>
            </w:pPr>
            <w:r w:rsidRPr="00AF6335">
              <w:rPr>
                <w:rFonts w:ascii="Arial" w:hAnsi="Arial" w:cs="Arial"/>
                <w:color w:val="000000" w:themeColor="text1"/>
              </w:rPr>
              <w:t>12/06/2024</w:t>
            </w:r>
          </w:p>
        </w:tc>
        <w:tc>
          <w:tcPr>
            <w:tcW w:w="1629" w:type="dxa"/>
            <w:tcBorders>
              <w:top w:val="single" w:sz="4" w:space="0" w:color="000000"/>
              <w:left w:val="nil"/>
              <w:bottom w:val="single" w:sz="4" w:space="0" w:color="000000"/>
              <w:right w:val="single" w:sz="4" w:space="0" w:color="000000"/>
            </w:tcBorders>
            <w:vAlign w:val="center"/>
            <w:hideMark/>
          </w:tcPr>
          <w:p w:rsidR="005C65A6" w:rsidRPr="00AF6335" w:rsidRDefault="001323CF">
            <w:pPr>
              <w:rPr>
                <w:rFonts w:ascii="Arial" w:hAnsi="Arial" w:cs="Arial"/>
                <w:color w:val="000000" w:themeColor="text1"/>
              </w:rPr>
            </w:pPr>
            <w:r w:rsidRPr="00AF6335">
              <w:rPr>
                <w:rFonts w:ascii="Arial" w:hAnsi="Arial" w:cs="Arial"/>
                <w:color w:val="000000" w:themeColor="text1"/>
                <w:bdr w:val="none" w:sz="0" w:space="0" w:color="auto" w:frame="1"/>
              </w:rPr>
              <w:t xml:space="preserve">Patient wishes to complain about their </w:t>
            </w:r>
            <w:r w:rsidR="00BF7C7F" w:rsidRPr="00AF6335">
              <w:rPr>
                <w:rFonts w:ascii="Arial" w:hAnsi="Arial" w:cs="Arial"/>
                <w:color w:val="000000" w:themeColor="text1"/>
                <w:bdr w:val="none" w:sz="0" w:space="0" w:color="auto" w:frame="1"/>
              </w:rPr>
              <w:t xml:space="preserve">eye </w:t>
            </w:r>
            <w:r w:rsidRPr="00AF6335">
              <w:rPr>
                <w:rFonts w:ascii="Arial" w:hAnsi="Arial" w:cs="Arial"/>
                <w:color w:val="000000" w:themeColor="text1"/>
                <w:bdr w:val="none" w:sz="0" w:space="0" w:color="auto" w:frame="1"/>
              </w:rPr>
              <w:t>surgery</w:t>
            </w:r>
          </w:p>
        </w:tc>
        <w:tc>
          <w:tcPr>
            <w:tcW w:w="1217" w:type="dxa"/>
            <w:tcBorders>
              <w:top w:val="single" w:sz="4" w:space="0" w:color="000000"/>
              <w:left w:val="nil"/>
              <w:bottom w:val="single" w:sz="4" w:space="0" w:color="000000"/>
              <w:right w:val="single" w:sz="4" w:space="0" w:color="000000"/>
            </w:tcBorders>
            <w:vAlign w:val="center"/>
            <w:hideMark/>
          </w:tcPr>
          <w:p w:rsidR="005C65A6" w:rsidRPr="00AF6335" w:rsidRDefault="005C65A6">
            <w:pPr>
              <w:rPr>
                <w:rFonts w:ascii="Arial" w:hAnsi="Arial" w:cs="Arial"/>
              </w:rPr>
            </w:pPr>
            <w:r w:rsidRPr="00AF6335">
              <w:rPr>
                <w:rFonts w:ascii="Arial" w:hAnsi="Arial" w:cs="Arial"/>
              </w:rPr>
              <w:t>Partially</w:t>
            </w:r>
          </w:p>
          <w:p w:rsidR="005C65A6" w:rsidRPr="00AF6335" w:rsidRDefault="005C65A6">
            <w:pPr>
              <w:rPr>
                <w:rFonts w:ascii="Arial" w:hAnsi="Arial" w:cs="Arial"/>
              </w:rPr>
            </w:pPr>
            <w:r w:rsidRPr="00AF6335">
              <w:rPr>
                <w:rFonts w:ascii="Arial" w:hAnsi="Arial" w:cs="Arial"/>
              </w:rPr>
              <w:t>upheld</w:t>
            </w:r>
          </w:p>
        </w:tc>
        <w:tc>
          <w:tcPr>
            <w:tcW w:w="2217" w:type="dxa"/>
            <w:tcBorders>
              <w:top w:val="single" w:sz="4" w:space="0" w:color="000000"/>
              <w:left w:val="nil"/>
              <w:bottom w:val="single" w:sz="4" w:space="0" w:color="000000"/>
              <w:right w:val="single" w:sz="4" w:space="0" w:color="000000"/>
            </w:tcBorders>
            <w:vAlign w:val="center"/>
            <w:hideMark/>
          </w:tcPr>
          <w:p w:rsidR="001323CF" w:rsidRPr="00AF6335" w:rsidRDefault="001323CF" w:rsidP="001323CF">
            <w:pPr>
              <w:rPr>
                <w:rFonts w:ascii="inherit" w:hAnsi="inherit" w:cs="Arial"/>
              </w:rPr>
            </w:pPr>
            <w:r w:rsidRPr="00AF6335">
              <w:rPr>
                <w:rFonts w:ascii="Arial" w:hAnsi="Arial" w:cs="Arial"/>
                <w:bdr w:val="none" w:sz="0" w:space="0" w:color="auto" w:frame="1"/>
              </w:rPr>
              <w:t xml:space="preserve">SPSO Level 1 </w:t>
            </w:r>
            <w:r w:rsidR="00BF7C7F" w:rsidRPr="00AF6335">
              <w:rPr>
                <w:rFonts w:ascii="Arial" w:hAnsi="Arial" w:cs="Arial"/>
                <w:bdr w:val="none" w:sz="0" w:space="0" w:color="auto" w:frame="1"/>
              </w:rPr>
              <w:t>–</w:t>
            </w:r>
            <w:r w:rsidRPr="00AF6335">
              <w:rPr>
                <w:rFonts w:ascii="Arial" w:hAnsi="Arial" w:cs="Arial"/>
                <w:bdr w:val="none" w:sz="0" w:space="0" w:color="auto" w:frame="1"/>
              </w:rPr>
              <w:t xml:space="preserve"> </w:t>
            </w:r>
            <w:r w:rsidR="00783568">
              <w:rPr>
                <w:rFonts w:ascii="Arial" w:hAnsi="Arial" w:cs="Arial"/>
                <w:bdr w:val="none" w:sz="0" w:space="0" w:color="auto" w:frame="1"/>
              </w:rPr>
              <w:t>Recommendations  being implemented</w:t>
            </w:r>
          </w:p>
          <w:p w:rsidR="005C65A6" w:rsidRPr="00AF6335" w:rsidRDefault="005C65A6">
            <w:pPr>
              <w:rPr>
                <w:rFonts w:ascii="Arial" w:hAnsi="Arial" w:cs="Arial"/>
              </w:rPr>
            </w:pPr>
          </w:p>
        </w:tc>
        <w:tc>
          <w:tcPr>
            <w:tcW w:w="1418" w:type="dxa"/>
            <w:tcBorders>
              <w:top w:val="single" w:sz="4" w:space="0" w:color="000000"/>
              <w:left w:val="nil"/>
              <w:bottom w:val="single" w:sz="4" w:space="0" w:color="000000"/>
              <w:right w:val="single" w:sz="4" w:space="0" w:color="000000"/>
            </w:tcBorders>
            <w:vAlign w:val="center"/>
            <w:hideMark/>
          </w:tcPr>
          <w:p w:rsidR="005C65A6" w:rsidRPr="00AF6335" w:rsidRDefault="00B44D80">
            <w:pPr>
              <w:rPr>
                <w:rFonts w:ascii="Arial" w:hAnsi="Arial" w:cs="Arial"/>
              </w:rPr>
            </w:pPr>
            <w:r>
              <w:rPr>
                <w:rFonts w:ascii="Arial" w:hAnsi="Arial" w:cs="Arial"/>
              </w:rPr>
              <w:t>15/11</w:t>
            </w:r>
            <w:r w:rsidR="00783568">
              <w:rPr>
                <w:rFonts w:ascii="Arial" w:hAnsi="Arial" w:cs="Arial"/>
              </w:rPr>
              <w:t>/2025</w:t>
            </w:r>
          </w:p>
        </w:tc>
      </w:tr>
      <w:tr w:rsidR="00AF6335" w:rsidRPr="00AF6335" w:rsidTr="00AF6335">
        <w:trPr>
          <w:trHeight w:val="60"/>
        </w:trPr>
        <w:tc>
          <w:tcPr>
            <w:tcW w:w="750" w:type="dxa"/>
            <w:tcBorders>
              <w:top w:val="single" w:sz="4" w:space="0" w:color="000000"/>
              <w:left w:val="single" w:sz="4" w:space="0" w:color="000000"/>
              <w:bottom w:val="single" w:sz="4" w:space="0" w:color="000000"/>
              <w:right w:val="single" w:sz="4" w:space="0" w:color="000000"/>
            </w:tcBorders>
            <w:vAlign w:val="center"/>
          </w:tcPr>
          <w:p w:rsidR="00AF6335" w:rsidRPr="00AF6335" w:rsidRDefault="00AF6335" w:rsidP="00AF6335">
            <w:pPr>
              <w:rPr>
                <w:rFonts w:ascii="Arial" w:hAnsi="Arial" w:cs="Arial"/>
                <w:color w:val="000000" w:themeColor="text1"/>
              </w:rPr>
            </w:pPr>
            <w:r w:rsidRPr="00AF6335">
              <w:rPr>
                <w:rFonts w:ascii="Arial" w:hAnsi="Arial" w:cs="Arial"/>
                <w:color w:val="000000" w:themeColor="text1"/>
              </w:rPr>
              <w:t>3437</w:t>
            </w:r>
          </w:p>
        </w:tc>
        <w:tc>
          <w:tcPr>
            <w:tcW w:w="844" w:type="dxa"/>
            <w:tcBorders>
              <w:top w:val="single" w:sz="4" w:space="0" w:color="000000"/>
              <w:left w:val="nil"/>
              <w:bottom w:val="single" w:sz="4" w:space="0" w:color="000000"/>
              <w:right w:val="single" w:sz="4" w:space="0" w:color="000000"/>
            </w:tcBorders>
            <w:vAlign w:val="center"/>
          </w:tcPr>
          <w:p w:rsidR="00AF6335" w:rsidRPr="00AF6335" w:rsidRDefault="00AF6335" w:rsidP="00AF6335">
            <w:pPr>
              <w:jc w:val="center"/>
              <w:rPr>
                <w:rFonts w:ascii="Arial" w:hAnsi="Arial" w:cs="Arial"/>
                <w:color w:val="000000" w:themeColor="text1"/>
              </w:rPr>
            </w:pPr>
            <w:r>
              <w:rPr>
                <w:rFonts w:ascii="Arial" w:hAnsi="Arial" w:cs="Arial"/>
                <w:color w:val="000000" w:themeColor="text1"/>
              </w:rPr>
              <w:t>Stage 2</w:t>
            </w:r>
          </w:p>
        </w:tc>
        <w:tc>
          <w:tcPr>
            <w:tcW w:w="1418" w:type="dxa"/>
            <w:tcBorders>
              <w:top w:val="single" w:sz="4" w:space="0" w:color="000000"/>
              <w:left w:val="nil"/>
              <w:bottom w:val="single" w:sz="4" w:space="0" w:color="000000"/>
              <w:right w:val="single" w:sz="4" w:space="0" w:color="000000"/>
            </w:tcBorders>
            <w:vAlign w:val="center"/>
          </w:tcPr>
          <w:p w:rsidR="00AF6335" w:rsidRPr="00AF6335" w:rsidRDefault="00AF6335" w:rsidP="00AF6335">
            <w:pPr>
              <w:rPr>
                <w:rFonts w:ascii="Arial" w:hAnsi="Arial" w:cs="Arial"/>
                <w:color w:val="000000" w:themeColor="text1"/>
              </w:rPr>
            </w:pPr>
            <w:r w:rsidRPr="00AF6335">
              <w:rPr>
                <w:rFonts w:ascii="Arial" w:hAnsi="Arial" w:cs="Arial"/>
                <w:color w:val="000000" w:themeColor="text1"/>
                <w:shd w:val="clear" w:color="auto" w:fill="F5F9FF"/>
              </w:rPr>
              <w:t>01/12/2023</w:t>
            </w:r>
          </w:p>
        </w:tc>
        <w:tc>
          <w:tcPr>
            <w:tcW w:w="1629" w:type="dxa"/>
            <w:tcBorders>
              <w:top w:val="single" w:sz="4" w:space="0" w:color="000000"/>
              <w:left w:val="nil"/>
              <w:bottom w:val="single" w:sz="4" w:space="0" w:color="000000"/>
              <w:right w:val="single" w:sz="4" w:space="0" w:color="000000"/>
            </w:tcBorders>
            <w:vAlign w:val="center"/>
          </w:tcPr>
          <w:p w:rsidR="00AF6335" w:rsidRPr="00AF6335" w:rsidRDefault="00AF6335" w:rsidP="00AF6335">
            <w:pPr>
              <w:rPr>
                <w:rFonts w:ascii="Arial" w:hAnsi="Arial" w:cs="Arial"/>
                <w:color w:val="000000" w:themeColor="text1"/>
                <w:bdr w:val="none" w:sz="0" w:space="0" w:color="auto" w:frame="1"/>
              </w:rPr>
            </w:pPr>
            <w:r w:rsidRPr="00AF6335">
              <w:rPr>
                <w:rFonts w:ascii="Arial" w:hAnsi="Arial" w:cs="Arial"/>
                <w:color w:val="000000" w:themeColor="text1"/>
                <w:bdr w:val="none" w:sz="0" w:space="0" w:color="auto" w:frame="1"/>
              </w:rPr>
              <w:t xml:space="preserve">Patient wishes to complain about their </w:t>
            </w:r>
            <w:r>
              <w:rPr>
                <w:rFonts w:ascii="Arial" w:hAnsi="Arial" w:cs="Arial"/>
                <w:color w:val="000000" w:themeColor="text1"/>
                <w:bdr w:val="none" w:sz="0" w:space="0" w:color="auto" w:frame="1"/>
              </w:rPr>
              <w:t>fathers care while awaiting surgery.</w:t>
            </w:r>
          </w:p>
        </w:tc>
        <w:tc>
          <w:tcPr>
            <w:tcW w:w="1217" w:type="dxa"/>
            <w:tcBorders>
              <w:top w:val="single" w:sz="4" w:space="0" w:color="000000"/>
              <w:left w:val="nil"/>
              <w:bottom w:val="single" w:sz="4" w:space="0" w:color="000000"/>
              <w:right w:val="single" w:sz="4" w:space="0" w:color="000000"/>
            </w:tcBorders>
            <w:vAlign w:val="center"/>
          </w:tcPr>
          <w:p w:rsidR="00AF6335" w:rsidRPr="00AF6335" w:rsidRDefault="00783568" w:rsidP="00AF6335">
            <w:pPr>
              <w:rPr>
                <w:rFonts w:ascii="Arial" w:hAnsi="Arial" w:cs="Arial"/>
              </w:rPr>
            </w:pPr>
            <w:r>
              <w:rPr>
                <w:rFonts w:ascii="Arial" w:hAnsi="Arial" w:cs="Arial"/>
              </w:rPr>
              <w:t>tbc</w:t>
            </w:r>
          </w:p>
        </w:tc>
        <w:tc>
          <w:tcPr>
            <w:tcW w:w="2217" w:type="dxa"/>
            <w:tcBorders>
              <w:top w:val="single" w:sz="4" w:space="0" w:color="000000"/>
              <w:left w:val="nil"/>
              <w:bottom w:val="single" w:sz="4" w:space="0" w:color="000000"/>
              <w:right w:val="single" w:sz="4" w:space="0" w:color="000000"/>
            </w:tcBorders>
            <w:vAlign w:val="center"/>
          </w:tcPr>
          <w:p w:rsidR="00AF6335" w:rsidRPr="00AF6335" w:rsidRDefault="00AF6335" w:rsidP="00AF6335">
            <w:pPr>
              <w:rPr>
                <w:rFonts w:ascii="inherit" w:hAnsi="inherit" w:cs="Arial"/>
              </w:rPr>
            </w:pPr>
            <w:r w:rsidRPr="00AF6335">
              <w:rPr>
                <w:rFonts w:ascii="Arial" w:hAnsi="Arial" w:cs="Arial"/>
                <w:bdr w:val="none" w:sz="0" w:space="0" w:color="auto" w:frame="1"/>
              </w:rPr>
              <w:t xml:space="preserve">SPSO Level 1 – </w:t>
            </w:r>
            <w:r>
              <w:rPr>
                <w:rFonts w:ascii="Arial" w:hAnsi="Arial" w:cs="Arial"/>
                <w:bdr w:val="none" w:sz="0" w:space="0" w:color="auto" w:frame="1"/>
              </w:rPr>
              <w:t>requesting information for investigation</w:t>
            </w:r>
            <w:r w:rsidRPr="00AF6335">
              <w:rPr>
                <w:rFonts w:ascii="Arial" w:hAnsi="Arial" w:cs="Arial"/>
                <w:bdr w:val="none" w:sz="0" w:space="0" w:color="auto" w:frame="1"/>
              </w:rPr>
              <w:t>.</w:t>
            </w:r>
          </w:p>
          <w:p w:rsidR="00AF6335" w:rsidRPr="00AF6335" w:rsidRDefault="00AF6335" w:rsidP="00AF6335">
            <w:pPr>
              <w:rPr>
                <w:rFonts w:ascii="Arial" w:hAnsi="Arial" w:cs="Arial"/>
                <w:bdr w:val="none" w:sz="0" w:space="0" w:color="auto" w:frame="1"/>
              </w:rPr>
            </w:pPr>
          </w:p>
        </w:tc>
        <w:tc>
          <w:tcPr>
            <w:tcW w:w="1418" w:type="dxa"/>
            <w:tcBorders>
              <w:top w:val="single" w:sz="4" w:space="0" w:color="000000"/>
              <w:left w:val="nil"/>
              <w:bottom w:val="single" w:sz="4" w:space="0" w:color="000000"/>
              <w:right w:val="single" w:sz="4" w:space="0" w:color="000000"/>
            </w:tcBorders>
            <w:vAlign w:val="center"/>
          </w:tcPr>
          <w:p w:rsidR="00AF6335" w:rsidRPr="00AF6335" w:rsidRDefault="00783568" w:rsidP="00AF6335">
            <w:pPr>
              <w:rPr>
                <w:rFonts w:ascii="Arial" w:hAnsi="Arial" w:cs="Arial"/>
              </w:rPr>
            </w:pPr>
            <w:r>
              <w:rPr>
                <w:rFonts w:ascii="Arial" w:hAnsi="Arial" w:cs="Arial"/>
              </w:rPr>
              <w:t>tbc</w:t>
            </w:r>
          </w:p>
        </w:tc>
      </w:tr>
    </w:tbl>
    <w:p w:rsidR="005C65A6" w:rsidRPr="00432866" w:rsidRDefault="00BF7C7F" w:rsidP="005C65A6">
      <w:pPr>
        <w:pStyle w:val="Subtitle"/>
        <w:widowControl w:val="0"/>
        <w:jc w:val="left"/>
        <w:rPr>
          <w:color w:val="auto"/>
        </w:rPr>
      </w:pPr>
      <w:r>
        <w:rPr>
          <w:color w:val="auto"/>
        </w:rPr>
        <w:t xml:space="preserve">Table </w:t>
      </w:r>
      <w:r w:rsidR="00620B59">
        <w:rPr>
          <w:color w:val="auto"/>
        </w:rPr>
        <w:t>4</w:t>
      </w:r>
      <w:r w:rsidR="005C65A6" w:rsidRPr="00432866">
        <w:rPr>
          <w:color w:val="auto"/>
        </w:rPr>
        <w:t xml:space="preserve"> – SPSO Complaints open</w:t>
      </w:r>
    </w:p>
    <w:p w:rsidR="001A339C" w:rsidRPr="005C65A6" w:rsidRDefault="001A339C">
      <w:pPr>
        <w:rPr>
          <w:color w:val="FF0000"/>
        </w:rPr>
      </w:pPr>
    </w:p>
    <w:sectPr w:rsidR="001A339C" w:rsidRPr="005C6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52" w:rsidRDefault="007C0852" w:rsidP="00620B59">
      <w:r>
        <w:separator/>
      </w:r>
    </w:p>
  </w:endnote>
  <w:endnote w:type="continuationSeparator" w:id="0">
    <w:p w:rsidR="007C0852" w:rsidRDefault="007C0852" w:rsidP="0062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05599"/>
      <w:docPartObj>
        <w:docPartGallery w:val="Page Numbers (Bottom of Page)"/>
        <w:docPartUnique/>
      </w:docPartObj>
    </w:sdtPr>
    <w:sdtEndPr>
      <w:rPr>
        <w:noProof/>
      </w:rPr>
    </w:sdtEndPr>
    <w:sdtContent>
      <w:p w:rsidR="00620B59" w:rsidRDefault="00620B59">
        <w:pPr>
          <w:pStyle w:val="Footer"/>
          <w:jc w:val="right"/>
        </w:pPr>
        <w:r>
          <w:fldChar w:fldCharType="begin"/>
        </w:r>
        <w:r>
          <w:instrText xml:space="preserve"> PAGE   \* MERGEFORMAT </w:instrText>
        </w:r>
        <w:r>
          <w:fldChar w:fldCharType="separate"/>
        </w:r>
        <w:r w:rsidR="00B0706F">
          <w:rPr>
            <w:noProof/>
          </w:rPr>
          <w:t>6</w:t>
        </w:r>
        <w:r>
          <w:rPr>
            <w:noProof/>
          </w:rPr>
          <w:fldChar w:fldCharType="end"/>
        </w:r>
      </w:p>
    </w:sdtContent>
  </w:sdt>
  <w:p w:rsidR="00620B59" w:rsidRDefault="0062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52" w:rsidRDefault="007C0852" w:rsidP="00620B59">
      <w:r>
        <w:separator/>
      </w:r>
    </w:p>
  </w:footnote>
  <w:footnote w:type="continuationSeparator" w:id="0">
    <w:p w:rsidR="007C0852" w:rsidRDefault="007C0852" w:rsidP="0062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AA" w:rsidRDefault="00B0706F">
    <w:pPr>
      <w:pStyle w:val="Header"/>
    </w:pPr>
    <w:r>
      <w:tab/>
    </w:r>
    <w:r>
      <w:tab/>
      <w:t xml:space="preserve"> Item 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9746F52"/>
    <w:multiLevelType w:val="multilevel"/>
    <w:tmpl w:val="AA9A6E82"/>
    <w:lvl w:ilvl="0">
      <w:start w:val="2"/>
      <w:numFmt w:val="decimal"/>
      <w:lvlText w:val="%1"/>
      <w:lvlJc w:val="left"/>
      <w:pPr>
        <w:ind w:left="525" w:hanging="525"/>
      </w:pPr>
    </w:lvl>
    <w:lvl w:ilvl="1">
      <w:start w:val="3"/>
      <w:numFmt w:val="decimal"/>
      <w:lvlText w:val="%1.%2"/>
      <w:lvlJc w:val="left"/>
      <w:pPr>
        <w:ind w:left="525" w:hanging="525"/>
      </w:pPr>
    </w:lvl>
    <w:lvl w:ilvl="2">
      <w:start w:val="7"/>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CBC60E3"/>
    <w:multiLevelType w:val="hybridMultilevel"/>
    <w:tmpl w:val="3182A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9101FA3"/>
    <w:multiLevelType w:val="hybridMultilevel"/>
    <w:tmpl w:val="729679D6"/>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start w:val="1"/>
      <w:numFmt w:val="bullet"/>
      <w:lvlText w:val=""/>
      <w:lvlJc w:val="left"/>
      <w:pPr>
        <w:ind w:left="2685" w:hanging="360"/>
      </w:pPr>
      <w:rPr>
        <w:rFonts w:ascii="Wingdings" w:hAnsi="Wingdings" w:hint="default"/>
      </w:rPr>
    </w:lvl>
    <w:lvl w:ilvl="3" w:tplc="08090001">
      <w:start w:val="1"/>
      <w:numFmt w:val="bullet"/>
      <w:lvlText w:val=""/>
      <w:lvlJc w:val="left"/>
      <w:pPr>
        <w:ind w:left="3405" w:hanging="360"/>
      </w:pPr>
      <w:rPr>
        <w:rFonts w:ascii="Symbol" w:hAnsi="Symbol" w:hint="default"/>
      </w:rPr>
    </w:lvl>
    <w:lvl w:ilvl="4" w:tplc="08090003">
      <w:start w:val="1"/>
      <w:numFmt w:val="bullet"/>
      <w:lvlText w:val="o"/>
      <w:lvlJc w:val="left"/>
      <w:pPr>
        <w:ind w:left="4125" w:hanging="360"/>
      </w:pPr>
      <w:rPr>
        <w:rFonts w:ascii="Courier New" w:hAnsi="Courier New" w:cs="Courier New" w:hint="default"/>
      </w:rPr>
    </w:lvl>
    <w:lvl w:ilvl="5" w:tplc="08090005">
      <w:start w:val="1"/>
      <w:numFmt w:val="bullet"/>
      <w:lvlText w:val=""/>
      <w:lvlJc w:val="left"/>
      <w:pPr>
        <w:ind w:left="4845" w:hanging="360"/>
      </w:pPr>
      <w:rPr>
        <w:rFonts w:ascii="Wingdings" w:hAnsi="Wingdings" w:hint="default"/>
      </w:rPr>
    </w:lvl>
    <w:lvl w:ilvl="6" w:tplc="08090001">
      <w:start w:val="1"/>
      <w:numFmt w:val="bullet"/>
      <w:lvlText w:val=""/>
      <w:lvlJc w:val="left"/>
      <w:pPr>
        <w:ind w:left="5565" w:hanging="360"/>
      </w:pPr>
      <w:rPr>
        <w:rFonts w:ascii="Symbol" w:hAnsi="Symbol" w:hint="default"/>
      </w:rPr>
    </w:lvl>
    <w:lvl w:ilvl="7" w:tplc="08090003">
      <w:start w:val="1"/>
      <w:numFmt w:val="bullet"/>
      <w:lvlText w:val="o"/>
      <w:lvlJc w:val="left"/>
      <w:pPr>
        <w:ind w:left="6285" w:hanging="360"/>
      </w:pPr>
      <w:rPr>
        <w:rFonts w:ascii="Courier New" w:hAnsi="Courier New" w:cs="Courier New" w:hint="default"/>
      </w:rPr>
    </w:lvl>
    <w:lvl w:ilvl="8" w:tplc="08090005">
      <w:start w:val="1"/>
      <w:numFmt w:val="bullet"/>
      <w:lvlText w:val=""/>
      <w:lvlJc w:val="left"/>
      <w:pPr>
        <w:ind w:left="7005" w:hanging="360"/>
      </w:pPr>
      <w:rPr>
        <w:rFonts w:ascii="Wingdings" w:hAnsi="Wingdings" w:hint="default"/>
      </w:rPr>
    </w:lvl>
  </w:abstractNum>
  <w:abstractNum w:abstractNumId="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8DB2458"/>
    <w:multiLevelType w:val="hybridMultilevel"/>
    <w:tmpl w:val="575AA2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Times New Roman"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cs="Times New Roman"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cs="Times New Roman" w:hint="default"/>
      </w:rPr>
    </w:lvl>
    <w:lvl w:ilvl="8" w:tplc="08090005">
      <w:start w:val="1"/>
      <w:numFmt w:val="bullet"/>
      <w:lvlText w:val=""/>
      <w:lvlJc w:val="left"/>
      <w:pPr>
        <w:ind w:left="6732" w:hanging="360"/>
      </w:pPr>
      <w:rPr>
        <w:rFonts w:ascii="Wingdings" w:hAnsi="Wingdings" w:hint="default"/>
      </w:rPr>
    </w:lvl>
  </w:abstractNum>
  <w:abstractNum w:abstractNumId="9" w15:restartNumberingAfterBreak="0">
    <w:nsid w:val="6EC42E69"/>
    <w:multiLevelType w:val="hybridMultilevel"/>
    <w:tmpl w:val="EE24A3C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A6"/>
    <w:rsid w:val="00002EFE"/>
    <w:rsid w:val="00023D3F"/>
    <w:rsid w:val="00045A6B"/>
    <w:rsid w:val="00056DA3"/>
    <w:rsid w:val="000B4058"/>
    <w:rsid w:val="000F19EC"/>
    <w:rsid w:val="00102DAF"/>
    <w:rsid w:val="00112944"/>
    <w:rsid w:val="001323CF"/>
    <w:rsid w:val="00143138"/>
    <w:rsid w:val="0014456F"/>
    <w:rsid w:val="00160E0B"/>
    <w:rsid w:val="00163B3C"/>
    <w:rsid w:val="00174C5A"/>
    <w:rsid w:val="001866E3"/>
    <w:rsid w:val="001932F0"/>
    <w:rsid w:val="00197E4C"/>
    <w:rsid w:val="001A339C"/>
    <w:rsid w:val="001D1AEB"/>
    <w:rsid w:val="00225240"/>
    <w:rsid w:val="0023672F"/>
    <w:rsid w:val="00245E5F"/>
    <w:rsid w:val="002469F5"/>
    <w:rsid w:val="00252496"/>
    <w:rsid w:val="00272BCC"/>
    <w:rsid w:val="00275C61"/>
    <w:rsid w:val="002F0F66"/>
    <w:rsid w:val="00313688"/>
    <w:rsid w:val="00314C6A"/>
    <w:rsid w:val="00315318"/>
    <w:rsid w:val="00323D8A"/>
    <w:rsid w:val="0035190C"/>
    <w:rsid w:val="0037163B"/>
    <w:rsid w:val="00385290"/>
    <w:rsid w:val="003C7592"/>
    <w:rsid w:val="00405485"/>
    <w:rsid w:val="00414DB2"/>
    <w:rsid w:val="00432866"/>
    <w:rsid w:val="00464319"/>
    <w:rsid w:val="00465472"/>
    <w:rsid w:val="004724C0"/>
    <w:rsid w:val="004A2BFD"/>
    <w:rsid w:val="004A7BB6"/>
    <w:rsid w:val="004B5FF2"/>
    <w:rsid w:val="00516893"/>
    <w:rsid w:val="00542FCC"/>
    <w:rsid w:val="005C29FE"/>
    <w:rsid w:val="005C65A6"/>
    <w:rsid w:val="005E04EA"/>
    <w:rsid w:val="005E304A"/>
    <w:rsid w:val="005E3246"/>
    <w:rsid w:val="005F2658"/>
    <w:rsid w:val="00600658"/>
    <w:rsid w:val="00606099"/>
    <w:rsid w:val="00620B59"/>
    <w:rsid w:val="00666B8B"/>
    <w:rsid w:val="00693B70"/>
    <w:rsid w:val="006A7F90"/>
    <w:rsid w:val="006D3D7C"/>
    <w:rsid w:val="00745D8E"/>
    <w:rsid w:val="00771CDD"/>
    <w:rsid w:val="0078031F"/>
    <w:rsid w:val="00783568"/>
    <w:rsid w:val="007B595F"/>
    <w:rsid w:val="007C0852"/>
    <w:rsid w:val="007C358D"/>
    <w:rsid w:val="008025B2"/>
    <w:rsid w:val="00825B47"/>
    <w:rsid w:val="008C0833"/>
    <w:rsid w:val="0090205E"/>
    <w:rsid w:val="00916869"/>
    <w:rsid w:val="009211E4"/>
    <w:rsid w:val="00962674"/>
    <w:rsid w:val="009B68C9"/>
    <w:rsid w:val="009B76D0"/>
    <w:rsid w:val="00AA1287"/>
    <w:rsid w:val="00AA6EB8"/>
    <w:rsid w:val="00AF5AA7"/>
    <w:rsid w:val="00AF6335"/>
    <w:rsid w:val="00B05A02"/>
    <w:rsid w:val="00B0706F"/>
    <w:rsid w:val="00B44D80"/>
    <w:rsid w:val="00B5167B"/>
    <w:rsid w:val="00BB2275"/>
    <w:rsid w:val="00BF7C7F"/>
    <w:rsid w:val="00C14FCF"/>
    <w:rsid w:val="00C56EE9"/>
    <w:rsid w:val="00C9066E"/>
    <w:rsid w:val="00CB11EB"/>
    <w:rsid w:val="00CD7022"/>
    <w:rsid w:val="00CE4E26"/>
    <w:rsid w:val="00D14574"/>
    <w:rsid w:val="00D2757F"/>
    <w:rsid w:val="00D43DA0"/>
    <w:rsid w:val="00D62A72"/>
    <w:rsid w:val="00DE2BBD"/>
    <w:rsid w:val="00DF1485"/>
    <w:rsid w:val="00E23279"/>
    <w:rsid w:val="00E808AF"/>
    <w:rsid w:val="00EB0A37"/>
    <w:rsid w:val="00EF77FA"/>
    <w:rsid w:val="00F05BD2"/>
    <w:rsid w:val="00F20545"/>
    <w:rsid w:val="00F8613C"/>
    <w:rsid w:val="00F8649B"/>
    <w:rsid w:val="00F97921"/>
    <w:rsid w:val="00FC18AA"/>
    <w:rsid w:val="00FF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19B"/>
  <w15:chartTrackingRefBased/>
  <w15:docId w15:val="{5909A1FF-6EB6-4655-8978-0AF9964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5A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C65A6"/>
    <w:pPr>
      <w:keepNext/>
      <w:outlineLvl w:val="0"/>
    </w:pPr>
    <w:rPr>
      <w:b/>
      <w:lang w:eastAsia="en-US"/>
    </w:rPr>
  </w:style>
  <w:style w:type="paragraph" w:styleId="Heading2">
    <w:name w:val="heading 2"/>
    <w:basedOn w:val="Normal"/>
    <w:next w:val="Normal"/>
    <w:link w:val="Heading2Char"/>
    <w:uiPriority w:val="99"/>
    <w:semiHidden/>
    <w:unhideWhenUsed/>
    <w:qFormat/>
    <w:rsid w:val="005C65A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C65A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5A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9"/>
    <w:semiHidden/>
    <w:rsid w:val="005C65A6"/>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semiHidden/>
    <w:rsid w:val="005C65A6"/>
    <w:rPr>
      <w:rFonts w:asciiTheme="majorHAnsi" w:eastAsiaTheme="majorEastAsia" w:hAnsiTheme="majorHAnsi" w:cstheme="majorBidi"/>
      <w:color w:val="1F4D78" w:themeColor="accent1" w:themeShade="7F"/>
      <w:sz w:val="24"/>
      <w:szCs w:val="24"/>
      <w:lang w:eastAsia="en-GB"/>
    </w:rPr>
  </w:style>
  <w:style w:type="paragraph" w:styleId="Subtitle">
    <w:name w:val="Subtitle"/>
    <w:basedOn w:val="Normal"/>
    <w:link w:val="SubtitleChar"/>
    <w:uiPriority w:val="99"/>
    <w:qFormat/>
    <w:rsid w:val="005C65A6"/>
    <w:pPr>
      <w:jc w:val="center"/>
    </w:pPr>
    <w:rPr>
      <w:rFonts w:ascii="Arial" w:hAnsi="Arial" w:cs="Arial"/>
      <w:b/>
      <w:bCs/>
      <w:color w:val="FF0000"/>
      <w:lang w:eastAsia="en-US"/>
    </w:rPr>
  </w:style>
  <w:style w:type="character" w:customStyle="1" w:styleId="SubtitleChar">
    <w:name w:val="Subtitle Char"/>
    <w:basedOn w:val="DefaultParagraphFont"/>
    <w:link w:val="Subtitle"/>
    <w:uiPriority w:val="99"/>
    <w:rsid w:val="005C65A6"/>
    <w:rPr>
      <w:rFonts w:ascii="Arial" w:eastAsia="Times New Roman" w:hAnsi="Arial" w:cs="Arial"/>
      <w:b/>
      <w:bCs/>
      <w:color w:val="FF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C65A6"/>
    <w:pPr>
      <w:ind w:left="720"/>
    </w:pPr>
  </w:style>
  <w:style w:type="table" w:styleId="TableGrid">
    <w:name w:val="Table Grid"/>
    <w:basedOn w:val="TableNormal"/>
    <w:uiPriority w:val="99"/>
    <w:rsid w:val="005C65A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66E3"/>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AF5AA7"/>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20B59"/>
    <w:pPr>
      <w:tabs>
        <w:tab w:val="center" w:pos="4513"/>
        <w:tab w:val="right" w:pos="9026"/>
      </w:tabs>
    </w:pPr>
  </w:style>
  <w:style w:type="character" w:customStyle="1" w:styleId="HeaderChar">
    <w:name w:val="Header Char"/>
    <w:basedOn w:val="DefaultParagraphFont"/>
    <w:link w:val="Header"/>
    <w:uiPriority w:val="99"/>
    <w:rsid w:val="00620B5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0B59"/>
    <w:pPr>
      <w:tabs>
        <w:tab w:val="center" w:pos="4513"/>
        <w:tab w:val="right" w:pos="9026"/>
      </w:tabs>
    </w:pPr>
  </w:style>
  <w:style w:type="character" w:customStyle="1" w:styleId="FooterChar">
    <w:name w:val="Footer Char"/>
    <w:basedOn w:val="DefaultParagraphFont"/>
    <w:link w:val="Footer"/>
    <w:uiPriority w:val="99"/>
    <w:rsid w:val="00620B5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9745">
      <w:bodyDiv w:val="1"/>
      <w:marLeft w:val="0"/>
      <w:marRight w:val="0"/>
      <w:marTop w:val="0"/>
      <w:marBottom w:val="0"/>
      <w:divBdr>
        <w:top w:val="none" w:sz="0" w:space="0" w:color="auto"/>
        <w:left w:val="none" w:sz="0" w:space="0" w:color="auto"/>
        <w:bottom w:val="none" w:sz="0" w:space="0" w:color="auto"/>
        <w:right w:val="none" w:sz="0" w:space="0" w:color="auto"/>
      </w:divBdr>
    </w:div>
    <w:div w:id="469127470">
      <w:bodyDiv w:val="1"/>
      <w:marLeft w:val="0"/>
      <w:marRight w:val="0"/>
      <w:marTop w:val="0"/>
      <w:marBottom w:val="0"/>
      <w:divBdr>
        <w:top w:val="none" w:sz="0" w:space="0" w:color="auto"/>
        <w:left w:val="none" w:sz="0" w:space="0" w:color="auto"/>
        <w:bottom w:val="none" w:sz="0" w:space="0" w:color="auto"/>
        <w:right w:val="none" w:sz="0" w:space="0" w:color="auto"/>
      </w:divBdr>
    </w:div>
    <w:div w:id="634720044">
      <w:bodyDiv w:val="1"/>
      <w:marLeft w:val="0"/>
      <w:marRight w:val="0"/>
      <w:marTop w:val="0"/>
      <w:marBottom w:val="0"/>
      <w:divBdr>
        <w:top w:val="none" w:sz="0" w:space="0" w:color="auto"/>
        <w:left w:val="none" w:sz="0" w:space="0" w:color="auto"/>
        <w:bottom w:val="none" w:sz="0" w:space="0" w:color="auto"/>
        <w:right w:val="none" w:sz="0" w:space="0" w:color="auto"/>
      </w:divBdr>
    </w:div>
    <w:div w:id="670790957">
      <w:bodyDiv w:val="1"/>
      <w:marLeft w:val="0"/>
      <w:marRight w:val="0"/>
      <w:marTop w:val="0"/>
      <w:marBottom w:val="0"/>
      <w:divBdr>
        <w:top w:val="none" w:sz="0" w:space="0" w:color="auto"/>
        <w:left w:val="none" w:sz="0" w:space="0" w:color="auto"/>
        <w:bottom w:val="none" w:sz="0" w:space="0" w:color="auto"/>
        <w:right w:val="none" w:sz="0" w:space="0" w:color="auto"/>
      </w:divBdr>
    </w:div>
    <w:div w:id="745808095">
      <w:bodyDiv w:val="1"/>
      <w:marLeft w:val="0"/>
      <w:marRight w:val="0"/>
      <w:marTop w:val="0"/>
      <w:marBottom w:val="0"/>
      <w:divBdr>
        <w:top w:val="none" w:sz="0" w:space="0" w:color="auto"/>
        <w:left w:val="none" w:sz="0" w:space="0" w:color="auto"/>
        <w:bottom w:val="none" w:sz="0" w:space="0" w:color="auto"/>
        <w:right w:val="none" w:sz="0" w:space="0" w:color="auto"/>
      </w:divBdr>
    </w:div>
    <w:div w:id="784076343">
      <w:bodyDiv w:val="1"/>
      <w:marLeft w:val="0"/>
      <w:marRight w:val="0"/>
      <w:marTop w:val="0"/>
      <w:marBottom w:val="0"/>
      <w:divBdr>
        <w:top w:val="none" w:sz="0" w:space="0" w:color="auto"/>
        <w:left w:val="none" w:sz="0" w:space="0" w:color="auto"/>
        <w:bottom w:val="none" w:sz="0" w:space="0" w:color="auto"/>
        <w:right w:val="none" w:sz="0" w:space="0" w:color="auto"/>
      </w:divBdr>
    </w:div>
    <w:div w:id="787505967">
      <w:bodyDiv w:val="1"/>
      <w:marLeft w:val="0"/>
      <w:marRight w:val="0"/>
      <w:marTop w:val="0"/>
      <w:marBottom w:val="0"/>
      <w:divBdr>
        <w:top w:val="none" w:sz="0" w:space="0" w:color="auto"/>
        <w:left w:val="none" w:sz="0" w:space="0" w:color="auto"/>
        <w:bottom w:val="none" w:sz="0" w:space="0" w:color="auto"/>
        <w:right w:val="none" w:sz="0" w:space="0" w:color="auto"/>
      </w:divBdr>
    </w:div>
    <w:div w:id="898322701">
      <w:bodyDiv w:val="1"/>
      <w:marLeft w:val="0"/>
      <w:marRight w:val="0"/>
      <w:marTop w:val="0"/>
      <w:marBottom w:val="0"/>
      <w:divBdr>
        <w:top w:val="none" w:sz="0" w:space="0" w:color="auto"/>
        <w:left w:val="none" w:sz="0" w:space="0" w:color="auto"/>
        <w:bottom w:val="none" w:sz="0" w:space="0" w:color="auto"/>
        <w:right w:val="none" w:sz="0" w:space="0" w:color="auto"/>
      </w:divBdr>
    </w:div>
    <w:div w:id="1249342138">
      <w:bodyDiv w:val="1"/>
      <w:marLeft w:val="0"/>
      <w:marRight w:val="0"/>
      <w:marTop w:val="0"/>
      <w:marBottom w:val="0"/>
      <w:divBdr>
        <w:top w:val="none" w:sz="0" w:space="0" w:color="auto"/>
        <w:left w:val="none" w:sz="0" w:space="0" w:color="auto"/>
        <w:bottom w:val="none" w:sz="0" w:space="0" w:color="auto"/>
        <w:right w:val="none" w:sz="0" w:space="0" w:color="auto"/>
      </w:divBdr>
    </w:div>
    <w:div w:id="1428228548">
      <w:bodyDiv w:val="1"/>
      <w:marLeft w:val="0"/>
      <w:marRight w:val="0"/>
      <w:marTop w:val="0"/>
      <w:marBottom w:val="0"/>
      <w:divBdr>
        <w:top w:val="none" w:sz="0" w:space="0" w:color="auto"/>
        <w:left w:val="none" w:sz="0" w:space="0" w:color="auto"/>
        <w:bottom w:val="none" w:sz="0" w:space="0" w:color="auto"/>
        <w:right w:val="none" w:sz="0" w:space="0" w:color="auto"/>
      </w:divBdr>
    </w:div>
    <w:div w:id="1729188738">
      <w:bodyDiv w:val="1"/>
      <w:marLeft w:val="0"/>
      <w:marRight w:val="0"/>
      <w:marTop w:val="0"/>
      <w:marBottom w:val="0"/>
      <w:divBdr>
        <w:top w:val="none" w:sz="0" w:space="0" w:color="auto"/>
        <w:left w:val="none" w:sz="0" w:space="0" w:color="auto"/>
        <w:bottom w:val="none" w:sz="0" w:space="0" w:color="auto"/>
        <w:right w:val="none" w:sz="0" w:space="0" w:color="auto"/>
      </w:divBdr>
    </w:div>
    <w:div w:id="1944878766">
      <w:bodyDiv w:val="1"/>
      <w:marLeft w:val="0"/>
      <w:marRight w:val="0"/>
      <w:marTop w:val="0"/>
      <w:marBottom w:val="0"/>
      <w:divBdr>
        <w:top w:val="none" w:sz="0" w:space="0" w:color="auto"/>
        <w:left w:val="none" w:sz="0" w:space="0" w:color="auto"/>
        <w:bottom w:val="none" w:sz="0" w:space="0" w:color="auto"/>
        <w:right w:val="none" w:sz="0" w:space="0" w:color="auto"/>
      </w:divBdr>
    </w:div>
    <w:div w:id="20953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mahonk\AppData\Local\Temp\MicrosoftEdgeDownloads\7fcfbbda-8cb0-4a06-b0b9-3479d76008fc\feedback%20report%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All</a:t>
            </a:r>
            <a:r>
              <a:rPr lang="en-US" baseline="0"/>
              <a:t> Feedback </a:t>
            </a:r>
            <a:r>
              <a:rPr lang="en-US"/>
              <a:t>Quarter</a:t>
            </a:r>
            <a:r>
              <a:rPr lang="en-US" baseline="0"/>
              <a:t> 2 2025-26</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Sheet3!$A$12:$A$16</c:f>
              <c:strCache>
                <c:ptCount val="5"/>
                <c:pt idx="0">
                  <c:v>Compliment</c:v>
                </c:pt>
                <c:pt idx="1">
                  <c:v>Concern</c:v>
                </c:pt>
                <c:pt idx="2">
                  <c:v>Query</c:v>
                </c:pt>
                <c:pt idx="3">
                  <c:v>Stage 1</c:v>
                </c:pt>
                <c:pt idx="4">
                  <c:v>Stage 2</c:v>
                </c:pt>
              </c:strCache>
            </c:strRef>
          </c:cat>
          <c:val>
            <c:numRef>
              <c:f>Sheet3!$B$12:$B$16</c:f>
              <c:numCache>
                <c:formatCode>General</c:formatCode>
                <c:ptCount val="5"/>
                <c:pt idx="0">
                  <c:v>49</c:v>
                </c:pt>
                <c:pt idx="1">
                  <c:v>21</c:v>
                </c:pt>
                <c:pt idx="2">
                  <c:v>10</c:v>
                </c:pt>
                <c:pt idx="3">
                  <c:v>15</c:v>
                </c:pt>
                <c:pt idx="4">
                  <c:v>9</c:v>
                </c:pt>
              </c:numCache>
            </c:numRef>
          </c:val>
          <c:extLst>
            <c:ext xmlns:c16="http://schemas.microsoft.com/office/drawing/2014/chart" uri="{C3380CC4-5D6E-409C-BE32-E72D297353CC}">
              <c16:uniqueId val="{00000000-B117-421C-99C6-90C17A76AB98}"/>
            </c:ext>
          </c:extLst>
        </c:ser>
        <c:dLbls>
          <c:showLegendKey val="0"/>
          <c:showVal val="0"/>
          <c:showCatName val="0"/>
          <c:showSerName val="0"/>
          <c:showPercent val="0"/>
          <c:showBubbleSize val="0"/>
        </c:dLbls>
        <c:gapWidth val="219"/>
        <c:overlap val="-27"/>
        <c:axId val="620403136"/>
        <c:axId val="620400840"/>
      </c:barChart>
      <c:catAx>
        <c:axId val="62040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400840"/>
        <c:crosses val="autoZero"/>
        <c:auto val="1"/>
        <c:lblAlgn val="ctr"/>
        <c:lblOffset val="100"/>
        <c:noMultiLvlLbl val="0"/>
      </c:catAx>
      <c:valAx>
        <c:axId val="620400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40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0CB95DA-6068-4DB3-BD81-544434EAB84F}">
  <ds:schemaRefs>
    <ds:schemaRef ds:uri="http://schemas.microsoft.com/office/2006/metadata/properties"/>
  </ds:schemaRefs>
</ds:datastoreItem>
</file>

<file path=customXml/itemProps2.xml><?xml version="1.0" encoding="utf-8"?>
<ds:datastoreItem xmlns:ds="http://schemas.openxmlformats.org/officeDocument/2006/customXml" ds:itemID="{96275F98-F9F4-4D81-A9A2-AA829D93AFC5}">
  <ds:schemaRefs>
    <ds:schemaRef ds:uri="http://schemas.microsoft.com/sharepoint/v3/contenttype/forms"/>
  </ds:schemaRefs>
</ds:datastoreItem>
</file>

<file path=customXml/itemProps3.xml><?xml version="1.0" encoding="utf-8"?>
<ds:datastoreItem xmlns:ds="http://schemas.openxmlformats.org/officeDocument/2006/customXml" ds:itemID="{2E606B3F-16C4-4EC2-8F9B-6263E91A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Smith (NHS GOLDEN JUBILEE)</dc:creator>
  <cp:keywords/>
  <dc:description/>
  <cp:lastModifiedBy>Christine Nelson (NHS GOLDEN JUBILEE)</cp:lastModifiedBy>
  <cp:revision>5</cp:revision>
  <dcterms:created xsi:type="dcterms:W3CDTF">2025-10-31T10:37:00Z</dcterms:created>
  <dcterms:modified xsi:type="dcterms:W3CDTF">2025-11-17T16:54:00Z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