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E1" w:rsidRDefault="009D03E1" w:rsidP="00513DB0">
      <w:pPr>
        <w:ind w:left="-540" w:right="183"/>
        <w:rPr>
          <w:rFonts w:ascii="Arial" w:hAnsi="Arial" w:cs="Arial"/>
          <w:b/>
          <w:bCs/>
          <w:color w:val="000000"/>
        </w:rPr>
      </w:pPr>
    </w:p>
    <w:p w:rsidR="00513DB0" w:rsidRPr="009D03E1" w:rsidRDefault="006951E1" w:rsidP="009D03E1">
      <w:pPr>
        <w:ind w:left="-540" w:right="183"/>
        <w:jc w:val="right"/>
        <w:rPr>
          <w:rFonts w:ascii="Arial" w:hAnsi="Arial" w:cs="Arial"/>
          <w:b/>
          <w:bCs/>
          <w:color w:val="002060"/>
          <w:sz w:val="20"/>
          <w:szCs w:val="20"/>
        </w:rPr>
      </w:pPr>
      <w:r w:rsidRPr="009D03E1">
        <w:rPr>
          <w:rFonts w:ascii="Arial" w:hAnsi="Arial" w:cs="Arial"/>
          <w:b/>
          <w:bCs/>
          <w:color w:val="002060"/>
          <w:sz w:val="20"/>
          <w:szCs w:val="20"/>
        </w:rPr>
        <w:t>Ref:</w:t>
      </w:r>
      <w:r w:rsidR="009D03E1" w:rsidRPr="009D03E1">
        <w:rPr>
          <w:rFonts w:ascii="Arial" w:hAnsi="Arial" w:cs="Arial"/>
          <w:b/>
          <w:bCs/>
          <w:color w:val="002060"/>
          <w:sz w:val="20"/>
          <w:szCs w:val="20"/>
        </w:rPr>
        <w:t xml:space="preserve"> GJF/2017/05/05</w:t>
      </w:r>
    </w:p>
    <w:p w:rsidR="00513DB0" w:rsidRDefault="009D03E1" w:rsidP="00513DB0">
      <w:pPr>
        <w:pStyle w:val="Heading1"/>
        <w:ind w:left="-540"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4592320</wp:posOffset>
            </wp:positionH>
            <wp:positionV relativeFrom="paragraph">
              <wp:posOffset>18415</wp:posOffset>
            </wp:positionV>
            <wp:extent cx="1370965" cy="1371600"/>
            <wp:effectExtent l="19050" t="0" r="63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7CDC" w:rsidRPr="00957CDC" w:rsidRDefault="009D03E1" w:rsidP="0076483C">
      <w:pPr>
        <w:pStyle w:val="Heading1"/>
        <w:ind w:left="1843" w:right="183" w:hanging="241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>11 May 2017</w:t>
      </w:r>
    </w:p>
    <w:p w:rsidR="001175E5" w:rsidRPr="00682309" w:rsidRDefault="001175E5" w:rsidP="0076483C">
      <w:pPr>
        <w:ind w:left="1843" w:right="183" w:hanging="2410"/>
        <w:rPr>
          <w:rFonts w:ascii="Arial" w:hAnsi="Arial" w:cs="Arial"/>
        </w:rPr>
      </w:pPr>
    </w:p>
    <w:p w:rsidR="002759EC" w:rsidRDefault="00A2577B" w:rsidP="0076483C">
      <w:pPr>
        <w:ind w:left="1843" w:right="183" w:hanging="2410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="008F329D">
        <w:rPr>
          <w:rFonts w:ascii="Arial" w:hAnsi="Arial" w:cs="Arial"/>
          <w:bCs/>
        </w:rPr>
        <w:t>KSF Updat</w:t>
      </w:r>
      <w:r w:rsidR="002759EC">
        <w:rPr>
          <w:rFonts w:ascii="Arial" w:hAnsi="Arial" w:cs="Arial"/>
          <w:bCs/>
        </w:rPr>
        <w:t>e</w:t>
      </w:r>
    </w:p>
    <w:p w:rsidR="002759EC" w:rsidRDefault="002759EC" w:rsidP="0076483C">
      <w:pPr>
        <w:ind w:left="1843" w:right="183" w:hanging="2410"/>
        <w:rPr>
          <w:rFonts w:ascii="Arial" w:hAnsi="Arial" w:cs="Arial"/>
          <w:b/>
          <w:bCs/>
        </w:rPr>
      </w:pPr>
    </w:p>
    <w:p w:rsidR="002759EC" w:rsidRPr="002759EC" w:rsidRDefault="00A2577B" w:rsidP="0076483C">
      <w:pPr>
        <w:ind w:left="1843" w:right="183" w:hanging="2410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6951E1">
        <w:rPr>
          <w:rFonts w:ascii="Arial" w:hAnsi="Arial" w:cs="Arial"/>
          <w:bCs/>
        </w:rPr>
        <w:t>Board</w:t>
      </w:r>
      <w:r w:rsidR="00617ACF">
        <w:rPr>
          <w:rFonts w:ascii="Arial" w:hAnsi="Arial" w:cs="Arial"/>
          <w:bCs/>
        </w:rPr>
        <w:t xml:space="preserve"> </w:t>
      </w:r>
      <w:r w:rsidR="0076483C">
        <w:rPr>
          <w:rFonts w:ascii="Arial" w:hAnsi="Arial" w:cs="Arial"/>
          <w:bCs/>
        </w:rPr>
        <w:t>are asked to note KSF</w:t>
      </w:r>
      <w:r w:rsidR="002759EC">
        <w:rPr>
          <w:rFonts w:ascii="Arial" w:hAnsi="Arial" w:cs="Arial"/>
          <w:bCs/>
        </w:rPr>
        <w:t xml:space="preserve"> progress as at 3</w:t>
      </w:r>
      <w:r w:rsidR="000B3486">
        <w:rPr>
          <w:rFonts w:ascii="Arial" w:hAnsi="Arial" w:cs="Arial"/>
          <w:bCs/>
        </w:rPr>
        <w:t>1</w:t>
      </w:r>
      <w:r w:rsidR="002759EC">
        <w:rPr>
          <w:rFonts w:ascii="Arial" w:hAnsi="Arial" w:cs="Arial"/>
          <w:bCs/>
        </w:rPr>
        <w:t xml:space="preserve"> </w:t>
      </w:r>
      <w:r w:rsidR="001626B1">
        <w:rPr>
          <w:rFonts w:ascii="Arial" w:hAnsi="Arial" w:cs="Arial"/>
          <w:bCs/>
        </w:rPr>
        <w:t>March 201</w:t>
      </w:r>
      <w:r w:rsidR="00D21663">
        <w:rPr>
          <w:rFonts w:ascii="Arial" w:hAnsi="Arial" w:cs="Arial"/>
          <w:bCs/>
        </w:rPr>
        <w:t>7</w:t>
      </w:r>
      <w:r w:rsidR="002759EC">
        <w:rPr>
          <w:rFonts w:ascii="Arial" w:hAnsi="Arial" w:cs="Arial"/>
          <w:bCs/>
        </w:rPr>
        <w:t xml:space="preserve"> </w:t>
      </w:r>
    </w:p>
    <w:p w:rsidR="009D03E1" w:rsidRDefault="009D03E1" w:rsidP="00F61FBB">
      <w:pPr>
        <w:ind w:left="-540" w:right="183"/>
        <w:rPr>
          <w:rFonts w:ascii="Arial" w:hAnsi="Arial" w:cs="Arial"/>
          <w:b/>
        </w:rPr>
      </w:pPr>
    </w:p>
    <w:p w:rsidR="009D03E1" w:rsidRDefault="009D03E1" w:rsidP="00F61FBB">
      <w:pPr>
        <w:ind w:left="-540" w:right="183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</w:t>
      </w:r>
    </w:p>
    <w:p w:rsidR="009D03E1" w:rsidRDefault="009D03E1" w:rsidP="00F61FBB">
      <w:pPr>
        <w:ind w:left="-540" w:right="183"/>
        <w:rPr>
          <w:rFonts w:ascii="Arial" w:hAnsi="Arial" w:cs="Arial"/>
          <w:b/>
        </w:rPr>
      </w:pPr>
    </w:p>
    <w:p w:rsidR="00CE3DAE" w:rsidRPr="001626B1" w:rsidRDefault="00CE3DAE" w:rsidP="00CE3DAE">
      <w:pPr>
        <w:pStyle w:val="ListParagraph"/>
        <w:numPr>
          <w:ilvl w:val="0"/>
          <w:numId w:val="20"/>
        </w:numPr>
        <w:ind w:right="183"/>
        <w:rPr>
          <w:b/>
        </w:rPr>
      </w:pPr>
      <w:r w:rsidRPr="001626B1">
        <w:rPr>
          <w:b/>
        </w:rPr>
        <w:t>Current Status</w:t>
      </w:r>
    </w:p>
    <w:p w:rsidR="00CE3DAE" w:rsidRPr="001626B1" w:rsidRDefault="00CE3DAE" w:rsidP="00CE3DAE">
      <w:pPr>
        <w:ind w:left="-540" w:right="183"/>
        <w:rPr>
          <w:rFonts w:ascii="Arial" w:hAnsi="Arial" w:cs="Arial"/>
          <w:b/>
        </w:rPr>
      </w:pPr>
    </w:p>
    <w:p w:rsidR="00CE3DAE" w:rsidRDefault="00CE3DAE" w:rsidP="009D03E1">
      <w:pPr>
        <w:ind w:left="-180" w:right="183"/>
        <w:rPr>
          <w:rFonts w:ascii="Arial" w:hAnsi="Arial" w:cs="Arial"/>
        </w:rPr>
      </w:pPr>
      <w:r w:rsidRPr="001626B1">
        <w:rPr>
          <w:rFonts w:ascii="Arial" w:hAnsi="Arial" w:cs="Arial"/>
        </w:rPr>
        <w:t xml:space="preserve">The graph below details that </w:t>
      </w:r>
      <w:r w:rsidR="00D21663">
        <w:rPr>
          <w:rFonts w:ascii="Arial" w:hAnsi="Arial" w:cs="Arial"/>
        </w:rPr>
        <w:t>84</w:t>
      </w:r>
      <w:r w:rsidRPr="001626B1">
        <w:rPr>
          <w:rFonts w:ascii="Arial" w:hAnsi="Arial" w:cs="Arial"/>
        </w:rPr>
        <w:t xml:space="preserve">% members of </w:t>
      </w:r>
      <w:proofErr w:type="spellStart"/>
      <w:r w:rsidRPr="001626B1">
        <w:rPr>
          <w:rFonts w:ascii="Arial" w:hAnsi="Arial" w:cs="Arial"/>
        </w:rPr>
        <w:t>AfC</w:t>
      </w:r>
      <w:proofErr w:type="spellEnd"/>
      <w:r w:rsidRPr="001626B1">
        <w:rPr>
          <w:rFonts w:ascii="Arial" w:hAnsi="Arial" w:cs="Arial"/>
        </w:rPr>
        <w:t xml:space="preserve"> staff have an up to date KSF PDR as at </w:t>
      </w:r>
      <w:r w:rsidR="000B3486">
        <w:rPr>
          <w:rFonts w:ascii="Arial" w:hAnsi="Arial" w:cs="Arial"/>
        </w:rPr>
        <w:t xml:space="preserve">Friday </w:t>
      </w:r>
      <w:r w:rsidRPr="001626B1">
        <w:rPr>
          <w:rFonts w:ascii="Arial" w:hAnsi="Arial" w:cs="Arial"/>
        </w:rPr>
        <w:t>31 March 201</w:t>
      </w:r>
      <w:r w:rsidR="00D2166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 Graph 2 </w:t>
      </w:r>
      <w:r w:rsidR="00D21663">
        <w:rPr>
          <w:rFonts w:ascii="Arial" w:hAnsi="Arial" w:cs="Arial"/>
        </w:rPr>
        <w:t xml:space="preserve">shows a comparison of the last four </w:t>
      </w:r>
      <w:r>
        <w:rPr>
          <w:rFonts w:ascii="Arial" w:hAnsi="Arial" w:cs="Arial"/>
        </w:rPr>
        <w:t>years.  201</w:t>
      </w:r>
      <w:r w:rsidR="00D21663">
        <w:rPr>
          <w:rFonts w:ascii="Arial" w:hAnsi="Arial" w:cs="Arial"/>
        </w:rPr>
        <w:t>6</w:t>
      </w:r>
      <w:r>
        <w:rPr>
          <w:rFonts w:ascii="Arial" w:hAnsi="Arial" w:cs="Arial"/>
        </w:rPr>
        <w:t>/1</w:t>
      </w:r>
      <w:r w:rsidR="00D21663">
        <w:rPr>
          <w:rFonts w:ascii="Arial" w:hAnsi="Arial" w:cs="Arial"/>
        </w:rPr>
        <w:t>7 shows an increase of 13%</w:t>
      </w:r>
      <w:r>
        <w:rPr>
          <w:rFonts w:ascii="Arial" w:hAnsi="Arial" w:cs="Arial"/>
        </w:rPr>
        <w:t xml:space="preserve"> from 201</w:t>
      </w:r>
      <w:r w:rsidR="00D21663">
        <w:rPr>
          <w:rFonts w:ascii="Arial" w:hAnsi="Arial" w:cs="Arial"/>
        </w:rPr>
        <w:t>5</w:t>
      </w:r>
      <w:r>
        <w:rPr>
          <w:rFonts w:ascii="Arial" w:hAnsi="Arial" w:cs="Arial"/>
        </w:rPr>
        <w:t>/1</w:t>
      </w:r>
      <w:r w:rsidR="00D21663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and an increase of </w:t>
      </w:r>
      <w:r w:rsidR="002E6F02">
        <w:rPr>
          <w:rFonts w:ascii="Arial" w:hAnsi="Arial" w:cs="Arial"/>
        </w:rPr>
        <w:t>30</w:t>
      </w:r>
      <w:r>
        <w:rPr>
          <w:rFonts w:ascii="Arial" w:hAnsi="Arial" w:cs="Arial"/>
        </w:rPr>
        <w:t>% from 13/14.</w:t>
      </w:r>
    </w:p>
    <w:p w:rsidR="00CE3DAE" w:rsidRDefault="00CE3DAE" w:rsidP="00CE3DAE">
      <w:pPr>
        <w:ind w:left="-540" w:right="183"/>
        <w:rPr>
          <w:rFonts w:ascii="Arial" w:hAnsi="Arial" w:cs="Arial"/>
        </w:rPr>
      </w:pPr>
    </w:p>
    <w:p w:rsidR="00CE3DAE" w:rsidRPr="009D03E1" w:rsidRDefault="00CE3DAE" w:rsidP="00CE3DAE">
      <w:pPr>
        <w:ind w:left="-540" w:right="183"/>
        <w:rPr>
          <w:rFonts w:ascii="Arial" w:hAnsi="Arial" w:cs="Arial"/>
          <w:b/>
        </w:rPr>
      </w:pPr>
      <w:r w:rsidRPr="009D03E1">
        <w:rPr>
          <w:rFonts w:ascii="Arial" w:hAnsi="Arial" w:cs="Arial"/>
          <w:b/>
        </w:rPr>
        <w:t>Graph 1 – Board KSF trajectory 201</w:t>
      </w:r>
      <w:r w:rsidR="00D21663" w:rsidRPr="009D03E1">
        <w:rPr>
          <w:rFonts w:ascii="Arial" w:hAnsi="Arial" w:cs="Arial"/>
          <w:b/>
        </w:rPr>
        <w:t>6</w:t>
      </w:r>
      <w:r w:rsidRPr="009D03E1">
        <w:rPr>
          <w:rFonts w:ascii="Arial" w:hAnsi="Arial" w:cs="Arial"/>
          <w:b/>
        </w:rPr>
        <w:t>/1</w:t>
      </w:r>
      <w:r w:rsidR="00D21663" w:rsidRPr="009D03E1">
        <w:rPr>
          <w:rFonts w:ascii="Arial" w:hAnsi="Arial" w:cs="Arial"/>
          <w:b/>
        </w:rPr>
        <w:t>7</w:t>
      </w:r>
    </w:p>
    <w:p w:rsidR="00D21663" w:rsidRDefault="00D21663" w:rsidP="00CE3DAE">
      <w:pPr>
        <w:ind w:left="-540" w:right="183"/>
        <w:rPr>
          <w:rFonts w:ascii="Arial" w:hAnsi="Arial" w:cs="Arial"/>
        </w:rPr>
      </w:pPr>
    </w:p>
    <w:p w:rsidR="00D21663" w:rsidRDefault="00D21663" w:rsidP="00CE3DAE">
      <w:pPr>
        <w:ind w:left="-540" w:right="183"/>
        <w:rPr>
          <w:rFonts w:ascii="Arial" w:hAnsi="Arial" w:cs="Arial"/>
        </w:rPr>
      </w:pPr>
      <w:r w:rsidRPr="00D21663">
        <w:rPr>
          <w:rFonts w:ascii="Arial" w:hAnsi="Arial" w:cs="Arial"/>
          <w:noProof/>
          <w:lang w:eastAsia="en-GB"/>
        </w:rPr>
        <w:drawing>
          <wp:inline distT="0" distB="0" distL="0" distR="0">
            <wp:extent cx="6479628" cy="2459420"/>
            <wp:effectExtent l="0" t="0" r="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21663" w:rsidRDefault="00D21663" w:rsidP="00CE3DAE">
      <w:pPr>
        <w:ind w:left="-540" w:right="183"/>
      </w:pPr>
    </w:p>
    <w:p w:rsidR="0017648A" w:rsidRPr="009D03E1" w:rsidRDefault="00CE3DAE" w:rsidP="00CE3DAE">
      <w:pPr>
        <w:ind w:left="-540" w:right="183"/>
        <w:rPr>
          <w:rFonts w:ascii="Arial" w:hAnsi="Arial" w:cs="Arial"/>
          <w:b/>
          <w:bCs/>
        </w:rPr>
      </w:pPr>
      <w:r w:rsidRPr="009D03E1">
        <w:rPr>
          <w:rFonts w:ascii="Arial" w:hAnsi="Arial" w:cs="Arial"/>
          <w:b/>
          <w:bCs/>
        </w:rPr>
        <w:t xml:space="preserve">Graph 2 – Comparison of </w:t>
      </w:r>
      <w:r w:rsidR="0017648A" w:rsidRPr="009D03E1">
        <w:rPr>
          <w:rFonts w:ascii="Arial" w:hAnsi="Arial" w:cs="Arial"/>
          <w:b/>
          <w:bCs/>
        </w:rPr>
        <w:t xml:space="preserve">KSF </w:t>
      </w:r>
      <w:r w:rsidRPr="009D03E1">
        <w:rPr>
          <w:rFonts w:ascii="Arial" w:hAnsi="Arial" w:cs="Arial"/>
          <w:b/>
          <w:bCs/>
        </w:rPr>
        <w:t xml:space="preserve">completion rates </w:t>
      </w:r>
      <w:r w:rsidR="0017648A" w:rsidRPr="009D03E1">
        <w:rPr>
          <w:rFonts w:ascii="Arial" w:hAnsi="Arial" w:cs="Arial"/>
          <w:b/>
          <w:bCs/>
        </w:rPr>
        <w:t>13/14, 14/15</w:t>
      </w:r>
      <w:r w:rsidR="00D21663" w:rsidRPr="009D03E1">
        <w:rPr>
          <w:rFonts w:ascii="Arial" w:hAnsi="Arial" w:cs="Arial"/>
          <w:b/>
          <w:bCs/>
        </w:rPr>
        <w:t>, 15/16 and 16/17</w:t>
      </w:r>
    </w:p>
    <w:p w:rsidR="00D21663" w:rsidRDefault="00D21663" w:rsidP="00CE3DAE">
      <w:pPr>
        <w:ind w:left="-540" w:right="183"/>
        <w:rPr>
          <w:rFonts w:ascii="Arial" w:hAnsi="Arial" w:cs="Arial"/>
          <w:bCs/>
        </w:rPr>
      </w:pPr>
      <w:r w:rsidRPr="00D21663">
        <w:rPr>
          <w:rFonts w:ascii="Arial" w:hAnsi="Arial" w:cs="Arial"/>
          <w:bCs/>
          <w:noProof/>
          <w:lang w:eastAsia="en-GB"/>
        </w:rPr>
        <w:drawing>
          <wp:inline distT="0" distB="0" distL="0" distR="0">
            <wp:extent cx="6009618" cy="2585545"/>
            <wp:effectExtent l="19050" t="0" r="10182" b="5255"/>
            <wp:docPr id="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21663" w:rsidRDefault="00D21663" w:rsidP="00CE3DAE">
      <w:pPr>
        <w:ind w:left="-540" w:right="183"/>
        <w:rPr>
          <w:rFonts w:ascii="Arial" w:hAnsi="Arial" w:cs="Arial"/>
          <w:bCs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bCs/>
        </w:rPr>
      </w:pPr>
    </w:p>
    <w:p w:rsidR="00CE3DAE" w:rsidRDefault="00CE3DAE" w:rsidP="00CE3DAE">
      <w:pPr>
        <w:ind w:left="-54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Chart 1 shows the comparison for </w:t>
      </w:r>
      <w:r w:rsidR="003750E1">
        <w:rPr>
          <w:rFonts w:ascii="Arial" w:hAnsi="Arial" w:cs="Arial"/>
        </w:rPr>
        <w:t>13/14, 15/16 and 16/17</w:t>
      </w:r>
      <w:r>
        <w:rPr>
          <w:rFonts w:ascii="Arial" w:hAnsi="Arial" w:cs="Arial"/>
        </w:rPr>
        <w:t xml:space="preserve"> by division.  </w:t>
      </w:r>
      <w:r w:rsidR="003750E1">
        <w:rPr>
          <w:rFonts w:ascii="Arial" w:hAnsi="Arial" w:cs="Arial"/>
        </w:rPr>
        <w:t xml:space="preserve">All divisions have </w:t>
      </w:r>
      <w:r w:rsidR="003F2A75">
        <w:rPr>
          <w:rFonts w:ascii="Arial" w:hAnsi="Arial" w:cs="Arial"/>
        </w:rPr>
        <w:t>increased their</w:t>
      </w:r>
      <w:r w:rsidR="005D4E5B">
        <w:rPr>
          <w:rFonts w:ascii="Arial" w:hAnsi="Arial" w:cs="Arial"/>
        </w:rPr>
        <w:t xml:space="preserve"> </w:t>
      </w:r>
      <w:r w:rsidR="003F2A75">
        <w:rPr>
          <w:rFonts w:ascii="Arial" w:hAnsi="Arial" w:cs="Arial"/>
        </w:rPr>
        <w:t>completion</w:t>
      </w:r>
      <w:r w:rsidR="002E6F02">
        <w:rPr>
          <w:rFonts w:ascii="Arial" w:hAnsi="Arial" w:cs="Arial"/>
        </w:rPr>
        <w:t xml:space="preserve"> rates in 2016/17.</w:t>
      </w:r>
    </w:p>
    <w:p w:rsidR="005D4E5B" w:rsidRDefault="005D4E5B" w:rsidP="00CE3DAE">
      <w:pPr>
        <w:ind w:left="-540" w:right="183"/>
        <w:rPr>
          <w:rFonts w:ascii="Arial" w:hAnsi="Arial" w:cs="Arial"/>
          <w:b/>
          <w:bCs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Chart 1 – Comparison of PDR completion % by division for </w:t>
      </w:r>
      <w:r w:rsidR="003750E1">
        <w:rPr>
          <w:rFonts w:ascii="Arial" w:hAnsi="Arial" w:cs="Arial"/>
          <w:b/>
          <w:bCs/>
        </w:rPr>
        <w:t>14/15, 15/16 and 16/17</w:t>
      </w:r>
    </w:p>
    <w:p w:rsidR="003750E1" w:rsidRDefault="003750E1" w:rsidP="00CE3DAE">
      <w:pPr>
        <w:ind w:left="-540" w:right="183"/>
        <w:rPr>
          <w:rFonts w:ascii="Arial" w:hAnsi="Arial" w:cs="Arial"/>
          <w:b/>
          <w:bCs/>
        </w:rPr>
      </w:pPr>
    </w:p>
    <w:p w:rsidR="003750E1" w:rsidRDefault="003750E1" w:rsidP="00CE3DAE">
      <w:pPr>
        <w:ind w:left="-540" w:right="183"/>
        <w:rPr>
          <w:rFonts w:ascii="Arial" w:hAnsi="Arial" w:cs="Arial"/>
          <w:b/>
          <w:bCs/>
        </w:rPr>
      </w:pPr>
      <w:r w:rsidRPr="003750E1">
        <w:rPr>
          <w:rFonts w:ascii="Arial" w:hAnsi="Arial" w:cs="Arial"/>
          <w:b/>
          <w:bCs/>
          <w:noProof/>
          <w:lang w:eastAsia="en-GB"/>
        </w:rPr>
        <w:drawing>
          <wp:inline distT="0" distB="0" distL="0" distR="0">
            <wp:extent cx="5876925" cy="2743200"/>
            <wp:effectExtent l="19050" t="0" r="9525" b="0"/>
            <wp:docPr id="8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E3DAE" w:rsidRDefault="00CE3DAE" w:rsidP="00CE3DAE">
      <w:pPr>
        <w:ind w:left="-540" w:right="183"/>
        <w:rPr>
          <w:rFonts w:ascii="Arial" w:hAnsi="Arial" w:cs="Arial"/>
          <w:b/>
          <w:bCs/>
        </w:rPr>
      </w:pPr>
    </w:p>
    <w:p w:rsidR="00CE3DAE" w:rsidRDefault="00CE3DAE" w:rsidP="00CE3DAE">
      <w:pPr>
        <w:ind w:left="-540" w:right="183"/>
        <w:rPr>
          <w:rFonts w:ascii="Arial" w:hAnsi="Arial" w:cs="Arial"/>
          <w:bCs/>
        </w:rPr>
      </w:pPr>
      <w:r w:rsidRPr="000D327A">
        <w:rPr>
          <w:rFonts w:ascii="Arial" w:hAnsi="Arial" w:cs="Arial"/>
          <w:bCs/>
        </w:rPr>
        <w:t>A breakdown of reviews completed by division</w:t>
      </w:r>
      <w:r w:rsidR="000B3486">
        <w:rPr>
          <w:rFonts w:ascii="Arial" w:hAnsi="Arial" w:cs="Arial"/>
          <w:bCs/>
        </w:rPr>
        <w:t>,</w:t>
      </w:r>
      <w:r w:rsidRPr="000D327A">
        <w:rPr>
          <w:rFonts w:ascii="Arial" w:hAnsi="Arial" w:cs="Arial"/>
          <w:bCs/>
        </w:rPr>
        <w:t xml:space="preserve"> then subdivided by department</w:t>
      </w:r>
      <w:r w:rsidR="000B3486">
        <w:rPr>
          <w:rFonts w:ascii="Arial" w:hAnsi="Arial" w:cs="Arial"/>
          <w:bCs/>
        </w:rPr>
        <w:t>,</w:t>
      </w:r>
      <w:r w:rsidRPr="000D327A">
        <w:rPr>
          <w:rFonts w:ascii="Arial" w:hAnsi="Arial" w:cs="Arial"/>
          <w:bCs/>
        </w:rPr>
        <w:t xml:space="preserve"> are shown in charts </w:t>
      </w:r>
      <w:r>
        <w:rPr>
          <w:rFonts w:ascii="Arial" w:hAnsi="Arial" w:cs="Arial"/>
          <w:bCs/>
        </w:rPr>
        <w:t>2 – 5</w:t>
      </w:r>
      <w:r w:rsidRPr="000D327A">
        <w:rPr>
          <w:rFonts w:ascii="Arial" w:hAnsi="Arial" w:cs="Arial"/>
          <w:bCs/>
        </w:rPr>
        <w:t xml:space="preserve"> below.</w:t>
      </w:r>
    </w:p>
    <w:p w:rsidR="00CE3DAE" w:rsidRDefault="00CE3DAE" w:rsidP="00CE3DAE">
      <w:pPr>
        <w:ind w:left="-540" w:right="183"/>
        <w:rPr>
          <w:rFonts w:ascii="Arial" w:hAnsi="Arial" w:cs="Arial"/>
          <w:bCs/>
        </w:rPr>
      </w:pPr>
    </w:p>
    <w:p w:rsidR="009D03E1" w:rsidRPr="009D03E1" w:rsidRDefault="00CE3DAE" w:rsidP="00CE3DAE">
      <w:pPr>
        <w:ind w:left="-540" w:right="183"/>
        <w:rPr>
          <w:rFonts w:ascii="Arial" w:hAnsi="Arial" w:cs="Arial"/>
          <w:b/>
        </w:rPr>
      </w:pPr>
      <w:r w:rsidRPr="009D03E1">
        <w:rPr>
          <w:rFonts w:ascii="Arial" w:hAnsi="Arial" w:cs="Arial"/>
          <w:b/>
        </w:rPr>
        <w:t>Chart 2 – Golden Jubilee Conference Hotel</w:t>
      </w:r>
    </w:p>
    <w:p w:rsidR="009D03E1" w:rsidRDefault="009D03E1" w:rsidP="00CE3DAE">
      <w:pPr>
        <w:ind w:left="-540" w:right="183"/>
        <w:rPr>
          <w:rFonts w:ascii="Arial" w:hAnsi="Arial" w:cs="Arial"/>
          <w:b/>
          <w:u w:val="single"/>
        </w:rPr>
      </w:pPr>
    </w:p>
    <w:p w:rsidR="00C404A1" w:rsidRDefault="00C404A1" w:rsidP="00CE3DAE">
      <w:pPr>
        <w:ind w:left="-540" w:right="183"/>
        <w:rPr>
          <w:rFonts w:ascii="Arial" w:hAnsi="Arial" w:cs="Arial"/>
          <w:b/>
          <w:u w:val="single"/>
        </w:rPr>
      </w:pPr>
      <w:r w:rsidRPr="00C404A1">
        <w:rPr>
          <w:rFonts w:ascii="Arial" w:hAnsi="Arial" w:cs="Arial"/>
          <w:b/>
          <w:noProof/>
          <w:u w:val="single"/>
          <w:lang w:eastAsia="en-GB"/>
        </w:rPr>
        <w:drawing>
          <wp:inline distT="0" distB="0" distL="0" distR="0">
            <wp:extent cx="5943600" cy="3638550"/>
            <wp:effectExtent l="19050" t="0" r="19050" b="0"/>
            <wp:docPr id="16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E3DAE" w:rsidRDefault="00CE3DAE" w:rsidP="00CE3DAE">
      <w:pPr>
        <w:pStyle w:val="bodyText"/>
        <w:jc w:val="both"/>
      </w:pPr>
      <w:r>
        <w:t xml:space="preserve"> </w:t>
      </w:r>
    </w:p>
    <w:p w:rsidR="00CE3DAE" w:rsidRDefault="00CE3DAE" w:rsidP="00CE3DAE">
      <w:pPr>
        <w:pStyle w:val="bodyText"/>
        <w:jc w:val="both"/>
      </w:pPr>
    </w:p>
    <w:p w:rsidR="009D03E1" w:rsidRDefault="009D03E1" w:rsidP="00CE3DAE">
      <w:pPr>
        <w:pStyle w:val="bodyText"/>
        <w:jc w:val="both"/>
      </w:pP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Pr="009D03E1" w:rsidRDefault="00CE3DAE" w:rsidP="00CE3DAE">
      <w:pPr>
        <w:ind w:left="-540" w:right="183"/>
        <w:rPr>
          <w:rFonts w:ascii="Arial" w:hAnsi="Arial" w:cs="Arial"/>
          <w:b/>
        </w:rPr>
      </w:pPr>
      <w:r w:rsidRPr="009D03E1">
        <w:rPr>
          <w:rFonts w:ascii="Arial" w:hAnsi="Arial" w:cs="Arial"/>
          <w:b/>
        </w:rPr>
        <w:lastRenderedPageBreak/>
        <w:t>Chart 3 – Corporate</w:t>
      </w:r>
    </w:p>
    <w:p w:rsidR="00097722" w:rsidRDefault="00097722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097722" w:rsidP="00CE3DAE">
      <w:pPr>
        <w:ind w:left="-540" w:right="183"/>
        <w:rPr>
          <w:rFonts w:ascii="Arial" w:hAnsi="Arial" w:cs="Arial"/>
          <w:b/>
          <w:u w:val="single"/>
        </w:rPr>
      </w:pPr>
      <w:r w:rsidRPr="00097722">
        <w:rPr>
          <w:rFonts w:ascii="Arial" w:hAnsi="Arial" w:cs="Arial"/>
          <w:b/>
          <w:noProof/>
          <w:u w:val="single"/>
          <w:lang w:eastAsia="en-GB"/>
        </w:rPr>
        <w:drawing>
          <wp:inline distT="0" distB="0" distL="0" distR="0">
            <wp:extent cx="5943600" cy="3564890"/>
            <wp:effectExtent l="19050" t="0" r="19050" b="0"/>
            <wp:docPr id="15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E3DAE" w:rsidRPr="00A60D9C" w:rsidRDefault="00CE3DAE" w:rsidP="00CE3DAE">
      <w:pPr>
        <w:ind w:left="-540" w:right="183"/>
        <w:rPr>
          <w:rFonts w:ascii="Arial" w:hAnsi="Arial" w:cs="Arial"/>
          <w:bCs/>
        </w:rPr>
      </w:pPr>
    </w:p>
    <w:p w:rsidR="00CE3DAE" w:rsidRDefault="00CE3DAE" w:rsidP="00CE3DAE">
      <w:pPr>
        <w:ind w:left="-540" w:right="183" w:firstLine="540"/>
        <w:rPr>
          <w:rFonts w:ascii="Arial" w:hAnsi="Arial" w:cs="Arial"/>
          <w:b/>
          <w:u w:val="single"/>
        </w:rPr>
      </w:pPr>
    </w:p>
    <w:p w:rsidR="00CE3DAE" w:rsidRPr="009D03E1" w:rsidRDefault="00CE3DAE" w:rsidP="00CE3DAE">
      <w:pPr>
        <w:ind w:left="-540" w:right="183"/>
        <w:rPr>
          <w:rFonts w:ascii="Arial" w:hAnsi="Arial" w:cs="Arial"/>
          <w:b/>
        </w:rPr>
      </w:pPr>
      <w:proofErr w:type="gramStart"/>
      <w:r w:rsidRPr="009D03E1">
        <w:rPr>
          <w:rFonts w:ascii="Arial" w:hAnsi="Arial" w:cs="Arial"/>
          <w:b/>
        </w:rPr>
        <w:t>Chart  4</w:t>
      </w:r>
      <w:proofErr w:type="gramEnd"/>
      <w:r w:rsidRPr="009D03E1">
        <w:rPr>
          <w:rFonts w:ascii="Arial" w:hAnsi="Arial" w:cs="Arial"/>
          <w:b/>
        </w:rPr>
        <w:t xml:space="preserve"> – Regional &amp; National Medicine</w:t>
      </w:r>
    </w:p>
    <w:p w:rsidR="00097722" w:rsidRDefault="00097722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097722" w:rsidP="00CE3DAE">
      <w:pPr>
        <w:ind w:left="-540" w:right="183"/>
        <w:rPr>
          <w:rFonts w:ascii="Arial" w:hAnsi="Arial" w:cs="Arial"/>
          <w:b/>
          <w:u w:val="single"/>
        </w:rPr>
      </w:pPr>
      <w:r w:rsidRPr="00097722">
        <w:rPr>
          <w:rFonts w:ascii="Arial" w:hAnsi="Arial" w:cs="Arial"/>
          <w:b/>
          <w:noProof/>
          <w:u w:val="single"/>
          <w:lang w:eastAsia="en-GB"/>
        </w:rPr>
        <w:drawing>
          <wp:inline distT="0" distB="0" distL="0" distR="0">
            <wp:extent cx="5943600" cy="3129915"/>
            <wp:effectExtent l="19050" t="0" r="19050" b="0"/>
            <wp:docPr id="11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9D03E1" w:rsidRDefault="009D03E1" w:rsidP="00CE3DAE">
      <w:pPr>
        <w:ind w:left="-540" w:right="183"/>
        <w:rPr>
          <w:rFonts w:ascii="Arial" w:hAnsi="Arial" w:cs="Arial"/>
          <w:b/>
          <w:u w:val="single"/>
        </w:rPr>
      </w:pPr>
    </w:p>
    <w:p w:rsidR="009D03E1" w:rsidRDefault="009D03E1" w:rsidP="00CE3DAE">
      <w:pPr>
        <w:ind w:left="-540" w:right="183"/>
        <w:rPr>
          <w:rFonts w:ascii="Arial" w:hAnsi="Arial" w:cs="Arial"/>
          <w:b/>
          <w:u w:val="single"/>
        </w:rPr>
      </w:pPr>
    </w:p>
    <w:p w:rsidR="009D03E1" w:rsidRDefault="009D03E1" w:rsidP="00CE3DAE">
      <w:pPr>
        <w:ind w:left="-540" w:right="183"/>
        <w:rPr>
          <w:rFonts w:ascii="Arial" w:hAnsi="Arial" w:cs="Arial"/>
          <w:b/>
          <w:u w:val="single"/>
        </w:rPr>
      </w:pPr>
    </w:p>
    <w:p w:rsidR="009D03E1" w:rsidRDefault="009D03E1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pStyle w:val="ListParagraph"/>
        <w:rPr>
          <w:b/>
          <w:u w:val="single"/>
        </w:rPr>
      </w:pPr>
    </w:p>
    <w:p w:rsidR="00CE3DAE" w:rsidRPr="009D03E1" w:rsidRDefault="00CE3DAE" w:rsidP="00CE3DAE">
      <w:pPr>
        <w:ind w:left="-540" w:right="183"/>
        <w:rPr>
          <w:rFonts w:ascii="Arial" w:hAnsi="Arial" w:cs="Arial"/>
          <w:b/>
        </w:rPr>
      </w:pPr>
      <w:proofErr w:type="gramStart"/>
      <w:r w:rsidRPr="009D03E1">
        <w:rPr>
          <w:rFonts w:ascii="Arial" w:hAnsi="Arial" w:cs="Arial"/>
          <w:b/>
        </w:rPr>
        <w:lastRenderedPageBreak/>
        <w:t>Chart  5</w:t>
      </w:r>
      <w:proofErr w:type="gramEnd"/>
      <w:r w:rsidRPr="009D03E1">
        <w:rPr>
          <w:rFonts w:ascii="Arial" w:hAnsi="Arial" w:cs="Arial"/>
          <w:b/>
        </w:rPr>
        <w:t xml:space="preserve"> – Surgical Specialties</w:t>
      </w:r>
    </w:p>
    <w:p w:rsidR="00097722" w:rsidRDefault="00097722" w:rsidP="00CE3DAE">
      <w:pPr>
        <w:ind w:left="-540" w:right="183"/>
        <w:rPr>
          <w:rFonts w:ascii="Arial" w:hAnsi="Arial" w:cs="Arial"/>
          <w:b/>
          <w:u w:val="single"/>
        </w:rPr>
      </w:pPr>
    </w:p>
    <w:p w:rsidR="00097722" w:rsidRDefault="00097722" w:rsidP="00CE3DAE">
      <w:pPr>
        <w:ind w:left="-540" w:right="183"/>
        <w:rPr>
          <w:rFonts w:ascii="Arial" w:hAnsi="Arial" w:cs="Arial"/>
          <w:b/>
          <w:u w:val="single"/>
        </w:rPr>
      </w:pPr>
      <w:r w:rsidRPr="00097722">
        <w:rPr>
          <w:rFonts w:ascii="Arial" w:hAnsi="Arial" w:cs="Arial"/>
          <w:b/>
          <w:noProof/>
          <w:u w:val="single"/>
          <w:lang w:eastAsia="en-GB"/>
        </w:rPr>
        <w:drawing>
          <wp:inline distT="0" distB="0" distL="0" distR="0">
            <wp:extent cx="6343650" cy="3343275"/>
            <wp:effectExtent l="19050" t="0" r="19050" b="0"/>
            <wp:docPr id="9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ind w:left="-540" w:right="183"/>
        <w:rPr>
          <w:rFonts w:ascii="Arial" w:hAnsi="Arial" w:cs="Arial"/>
          <w:b/>
          <w:u w:val="single"/>
        </w:rPr>
      </w:pPr>
    </w:p>
    <w:p w:rsidR="00CE3DAE" w:rsidRDefault="00CE3DAE" w:rsidP="00CE3DAE">
      <w:pPr>
        <w:contextualSpacing/>
        <w:rPr>
          <w:rFonts w:ascii="Arial" w:hAnsi="Arial" w:cs="Arial"/>
          <w:b/>
          <w:u w:val="single"/>
        </w:rPr>
      </w:pPr>
    </w:p>
    <w:p w:rsidR="00CE3DAE" w:rsidRDefault="009D03E1" w:rsidP="009D03E1">
      <w:pPr>
        <w:pStyle w:val="bodyText"/>
        <w:ind w:hanging="567"/>
        <w:jc w:val="both"/>
        <w:rPr>
          <w:b/>
        </w:rPr>
      </w:pPr>
      <w:r>
        <w:rPr>
          <w:b/>
        </w:rPr>
        <w:t>2</w:t>
      </w:r>
      <w:r>
        <w:rPr>
          <w:b/>
        </w:rPr>
        <w:tab/>
      </w:r>
      <w:r w:rsidR="00CE3DAE">
        <w:rPr>
          <w:b/>
        </w:rPr>
        <w:t>Actions throughout 201</w:t>
      </w:r>
      <w:r w:rsidR="00C404A1">
        <w:rPr>
          <w:b/>
        </w:rPr>
        <w:t>6</w:t>
      </w:r>
      <w:r w:rsidR="00CE3DAE">
        <w:rPr>
          <w:b/>
        </w:rPr>
        <w:t>/1</w:t>
      </w:r>
      <w:r w:rsidR="00C404A1">
        <w:rPr>
          <w:b/>
        </w:rPr>
        <w:t>7</w:t>
      </w:r>
    </w:p>
    <w:p w:rsidR="00CE3DAE" w:rsidRPr="00FE3949" w:rsidRDefault="00CE3DAE" w:rsidP="00CE3DAE">
      <w:pPr>
        <w:pStyle w:val="bodyText"/>
        <w:jc w:val="both"/>
        <w:rPr>
          <w:b/>
        </w:rPr>
      </w:pPr>
    </w:p>
    <w:p w:rsidR="00CE3DAE" w:rsidRDefault="00CE3DAE" w:rsidP="00CE3DAE">
      <w:pPr>
        <w:pStyle w:val="bodyText"/>
        <w:jc w:val="both"/>
      </w:pPr>
      <w:r>
        <w:t>In April 201</w:t>
      </w:r>
      <w:r w:rsidR="00C404A1">
        <w:t>6</w:t>
      </w:r>
      <w:r>
        <w:t xml:space="preserve"> a number of actions were designed to support the performance against the KSF target of 80% completion rate.  Actions included:  </w:t>
      </w:r>
    </w:p>
    <w:p w:rsidR="00CE3DAE" w:rsidRDefault="00CE3DAE" w:rsidP="00CE3DAE">
      <w:pPr>
        <w:pStyle w:val="bodyText"/>
        <w:jc w:val="both"/>
      </w:pPr>
    </w:p>
    <w:p w:rsidR="00CE3DAE" w:rsidRDefault="0016079A" w:rsidP="00CE3DAE">
      <w:pPr>
        <w:pStyle w:val="bodyText"/>
        <w:numPr>
          <w:ilvl w:val="0"/>
          <w:numId w:val="21"/>
        </w:numPr>
        <w:jc w:val="both"/>
      </w:pPr>
      <w:r>
        <w:t>A review of PDP/R training material in line with national recommendations</w:t>
      </w:r>
      <w:r w:rsidR="00CE3DAE" w:rsidRPr="00C54C60">
        <w:t xml:space="preserve">. </w:t>
      </w:r>
    </w:p>
    <w:p w:rsidR="00CE3DAE" w:rsidRDefault="003F2A75" w:rsidP="00CE3DAE">
      <w:pPr>
        <w:pStyle w:val="bodyText"/>
        <w:numPr>
          <w:ilvl w:val="0"/>
          <w:numId w:val="21"/>
        </w:numPr>
        <w:jc w:val="both"/>
      </w:pPr>
      <w:r>
        <w:t>Qualitative</w:t>
      </w:r>
      <w:r w:rsidR="0016079A">
        <w:t xml:space="preserve"> reviews of the PDP/PDR process to improve the conversation between reviewer and staff member.  </w:t>
      </w:r>
    </w:p>
    <w:p w:rsidR="00CE3DAE" w:rsidRDefault="0016079A" w:rsidP="00CE3DAE">
      <w:pPr>
        <w:pStyle w:val="bodyText"/>
        <w:numPr>
          <w:ilvl w:val="0"/>
          <w:numId w:val="21"/>
        </w:numPr>
        <w:jc w:val="both"/>
      </w:pPr>
      <w:r>
        <w:t>Review of content of managers guidance and toolkit</w:t>
      </w:r>
    </w:p>
    <w:p w:rsidR="00CE3DAE" w:rsidRDefault="0016079A" w:rsidP="00CE3DAE">
      <w:pPr>
        <w:pStyle w:val="ListParagraph"/>
        <w:numPr>
          <w:ilvl w:val="0"/>
          <w:numId w:val="21"/>
        </w:numPr>
        <w:contextualSpacing/>
        <w:rPr>
          <w:b/>
        </w:rPr>
      </w:pPr>
      <w:r>
        <w:t xml:space="preserve">Streamline outlines on the current </w:t>
      </w:r>
      <w:proofErr w:type="spellStart"/>
      <w:r>
        <w:t>e</w:t>
      </w:r>
      <w:r w:rsidR="000B3486">
        <w:t>KSF</w:t>
      </w:r>
      <w:proofErr w:type="spellEnd"/>
      <w:r>
        <w:t xml:space="preserve"> system</w:t>
      </w:r>
      <w:r w:rsidR="00CE3DAE">
        <w:rPr>
          <w:b/>
        </w:rPr>
        <w:t>.</w:t>
      </w:r>
    </w:p>
    <w:p w:rsidR="00CE3DAE" w:rsidRDefault="00CE3DAE" w:rsidP="00CE3DAE">
      <w:pPr>
        <w:pStyle w:val="bodyText"/>
        <w:ind w:left="720"/>
        <w:jc w:val="both"/>
      </w:pPr>
    </w:p>
    <w:p w:rsidR="00CE3DAE" w:rsidRPr="00C54C60" w:rsidRDefault="00CE3DAE" w:rsidP="00CE3DAE">
      <w:pPr>
        <w:pStyle w:val="bodyText"/>
        <w:jc w:val="both"/>
      </w:pPr>
      <w:r>
        <w:t>Additionally, r</w:t>
      </w:r>
      <w:r w:rsidRPr="00C54C60">
        <w:t xml:space="preserve">egular update reports </w:t>
      </w:r>
      <w:r>
        <w:t>were</w:t>
      </w:r>
      <w:r w:rsidRPr="00C54C60">
        <w:t xml:space="preserve"> sent to each manager by the HR team with additional support being provided by where necessary.</w:t>
      </w:r>
    </w:p>
    <w:p w:rsidR="00CE3DAE" w:rsidRDefault="00CE3DAE" w:rsidP="00CE3DAE">
      <w:pPr>
        <w:pStyle w:val="bodyText"/>
        <w:jc w:val="both"/>
      </w:pPr>
    </w:p>
    <w:p w:rsidR="009D03E1" w:rsidRPr="00C54C60" w:rsidRDefault="009D03E1" w:rsidP="00CE3DAE">
      <w:pPr>
        <w:pStyle w:val="bodyText"/>
        <w:jc w:val="both"/>
      </w:pPr>
    </w:p>
    <w:p w:rsidR="00CE3DAE" w:rsidRDefault="009D03E1" w:rsidP="009D03E1">
      <w:pPr>
        <w:pStyle w:val="bodyText"/>
        <w:ind w:hanging="567"/>
        <w:jc w:val="both"/>
        <w:rPr>
          <w:b/>
        </w:rPr>
      </w:pPr>
      <w:r>
        <w:rPr>
          <w:b/>
        </w:rPr>
        <w:t>3</w:t>
      </w:r>
      <w:r>
        <w:rPr>
          <w:b/>
        </w:rPr>
        <w:tab/>
      </w:r>
      <w:r w:rsidR="00CE3DAE" w:rsidRPr="008C7DC4">
        <w:rPr>
          <w:b/>
        </w:rPr>
        <w:t>Recommendations</w:t>
      </w:r>
    </w:p>
    <w:p w:rsidR="00CE3DAE" w:rsidRPr="008C7DC4" w:rsidRDefault="00CE3DAE" w:rsidP="00CE3DAE">
      <w:pPr>
        <w:pStyle w:val="bodyText"/>
        <w:jc w:val="both"/>
        <w:rPr>
          <w:b/>
        </w:rPr>
      </w:pPr>
    </w:p>
    <w:p w:rsidR="00CE3DAE" w:rsidRDefault="009D03E1" w:rsidP="00CE3DAE">
      <w:pPr>
        <w:pStyle w:val="bodyText"/>
        <w:jc w:val="both"/>
        <w:rPr>
          <w:szCs w:val="24"/>
        </w:rPr>
      </w:pPr>
      <w:r>
        <w:t xml:space="preserve">The </w:t>
      </w:r>
      <w:r w:rsidR="006951E1">
        <w:t>Board</w:t>
      </w:r>
      <w:r w:rsidR="00CE3DAE">
        <w:t xml:space="preserve"> </w:t>
      </w:r>
      <w:r>
        <w:t xml:space="preserve">is </w:t>
      </w:r>
      <w:r w:rsidR="00CE3DAE">
        <w:t xml:space="preserve">asked to </w:t>
      </w:r>
      <w:r w:rsidR="00CE3DAE">
        <w:rPr>
          <w:szCs w:val="24"/>
        </w:rPr>
        <w:t>note the contents of this paper and to continue their full support for ensuring KSF activity within the Board.</w:t>
      </w:r>
    </w:p>
    <w:p w:rsidR="00CE3DAE" w:rsidRDefault="00CE3DAE" w:rsidP="00CE3DAE">
      <w:pPr>
        <w:pStyle w:val="bodyText"/>
        <w:jc w:val="both"/>
        <w:rPr>
          <w:b/>
          <w:i/>
        </w:rPr>
      </w:pPr>
    </w:p>
    <w:p w:rsidR="009D03E1" w:rsidRDefault="009D03E1" w:rsidP="00CE3DAE">
      <w:pPr>
        <w:pStyle w:val="bodyText"/>
        <w:jc w:val="both"/>
        <w:rPr>
          <w:b/>
        </w:rPr>
      </w:pPr>
      <w:proofErr w:type="spellStart"/>
      <w:r>
        <w:rPr>
          <w:b/>
        </w:rPr>
        <w:t>Safia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Qureshi</w:t>
      </w:r>
      <w:proofErr w:type="spellEnd"/>
    </w:p>
    <w:p w:rsidR="009D03E1" w:rsidRDefault="009D03E1" w:rsidP="00CE3DAE">
      <w:pPr>
        <w:pStyle w:val="bodyText"/>
        <w:jc w:val="both"/>
        <w:rPr>
          <w:b/>
        </w:rPr>
      </w:pPr>
      <w:r>
        <w:rPr>
          <w:b/>
        </w:rPr>
        <w:t>Director of Quality, Innovation and People</w:t>
      </w:r>
    </w:p>
    <w:p w:rsidR="009D03E1" w:rsidRDefault="009D03E1" w:rsidP="00CE3DAE">
      <w:pPr>
        <w:pStyle w:val="bodyText"/>
        <w:jc w:val="both"/>
        <w:rPr>
          <w:b/>
        </w:rPr>
      </w:pPr>
      <w:r>
        <w:rPr>
          <w:b/>
        </w:rPr>
        <w:t>11 April 2017</w:t>
      </w:r>
    </w:p>
    <w:p w:rsidR="009D03E1" w:rsidRDefault="009D03E1" w:rsidP="00CE3DAE">
      <w:pPr>
        <w:pStyle w:val="bodyText"/>
        <w:jc w:val="both"/>
        <w:rPr>
          <w:b/>
        </w:rPr>
      </w:pPr>
    </w:p>
    <w:p w:rsidR="0076483C" w:rsidRPr="009D03E1" w:rsidRDefault="009D03E1" w:rsidP="0076483C">
      <w:pPr>
        <w:pStyle w:val="bodyText"/>
        <w:jc w:val="both"/>
        <w:rPr>
          <w:b/>
        </w:rPr>
      </w:pPr>
      <w:r>
        <w:rPr>
          <w:b/>
        </w:rPr>
        <w:t>(</w:t>
      </w:r>
      <w:r w:rsidR="00CE3DAE" w:rsidRPr="009D03E1">
        <w:rPr>
          <w:b/>
        </w:rPr>
        <w:t>David Miller</w:t>
      </w:r>
      <w:r>
        <w:rPr>
          <w:b/>
        </w:rPr>
        <w:t xml:space="preserve">, </w:t>
      </w:r>
      <w:r w:rsidR="006F4A23" w:rsidRPr="009D03E1">
        <w:rPr>
          <w:b/>
        </w:rPr>
        <w:t>Associate</w:t>
      </w:r>
      <w:r w:rsidR="00CE3DAE" w:rsidRPr="009D03E1">
        <w:rPr>
          <w:b/>
        </w:rPr>
        <w:t xml:space="preserve"> Director of Human Resources</w:t>
      </w:r>
      <w:r>
        <w:rPr>
          <w:b/>
        </w:rPr>
        <w:t>)</w:t>
      </w:r>
    </w:p>
    <w:p w:rsidR="00615B67" w:rsidRPr="009D03E1" w:rsidRDefault="00615B67" w:rsidP="009D03E1">
      <w:pPr>
        <w:pStyle w:val="bodyText"/>
        <w:jc w:val="both"/>
        <w:rPr>
          <w:b/>
        </w:rPr>
      </w:pPr>
    </w:p>
    <w:sectPr w:rsidR="00615B67" w:rsidRPr="009D03E1" w:rsidSect="009D03E1">
      <w:footerReference w:type="default" r:id="rId15"/>
      <w:footerReference w:type="first" r:id="rId16"/>
      <w:pgSz w:w="11906" w:h="16838"/>
      <w:pgMar w:top="709" w:right="746" w:bottom="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75" w:rsidRDefault="003F2A75">
      <w:r>
        <w:separator/>
      </w:r>
    </w:p>
  </w:endnote>
  <w:endnote w:type="continuationSeparator" w:id="0">
    <w:p w:rsidR="003F2A75" w:rsidRDefault="003F2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3E1" w:rsidRDefault="009D03E1" w:rsidP="009D03E1">
    <w:pPr>
      <w:ind w:left="-54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_________________________________________________________________________________________</w:t>
    </w:r>
  </w:p>
  <w:p w:rsidR="003F2A75" w:rsidRPr="00513DB0" w:rsidRDefault="00EF6160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3F2A75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9D03E1">
      <w:rPr>
        <w:rStyle w:val="PageNumber"/>
        <w:rFonts w:ascii="Arial" w:hAnsi="Arial" w:cs="Arial"/>
        <w:noProof/>
      </w:rPr>
      <w:t>4</w:t>
    </w:r>
    <w:r w:rsidRPr="00513DB0">
      <w:rPr>
        <w:rStyle w:val="PageNumber"/>
        <w:rFonts w:ascii="Arial" w:hAnsi="Arial" w:cs="Aria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3E1" w:rsidRPr="00513DB0" w:rsidRDefault="009D03E1" w:rsidP="009D03E1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9D03E1" w:rsidRDefault="009D03E1" w:rsidP="009D03E1">
    <w:pPr>
      <w:ind w:left="-54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_________________________________________________________________________________________</w:t>
    </w:r>
  </w:p>
  <w:p w:rsidR="009D03E1" w:rsidRDefault="009D03E1" w:rsidP="009D03E1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5452110</wp:posOffset>
          </wp:positionH>
          <wp:positionV relativeFrom="paragraph">
            <wp:posOffset>128270</wp:posOffset>
          </wp:positionV>
          <wp:extent cx="518160" cy="340995"/>
          <wp:effectExtent l="19050" t="0" r="0" b="0"/>
          <wp:wrapNone/>
          <wp:docPr id="2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D03E1" w:rsidRPr="008F5DB5" w:rsidRDefault="009D03E1" w:rsidP="009D03E1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9D03E1" w:rsidRPr="009D03E1" w:rsidRDefault="009D03E1" w:rsidP="009D03E1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75" w:rsidRDefault="003F2A75">
      <w:r>
        <w:separator/>
      </w:r>
    </w:p>
  </w:footnote>
  <w:footnote w:type="continuationSeparator" w:id="0">
    <w:p w:rsidR="003F2A75" w:rsidRDefault="003F2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43718A"/>
    <w:multiLevelType w:val="hybridMultilevel"/>
    <w:tmpl w:val="E94CB014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A5444AB"/>
    <w:multiLevelType w:val="hybridMultilevel"/>
    <w:tmpl w:val="3BA21E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313A9D"/>
    <w:multiLevelType w:val="hybridMultilevel"/>
    <w:tmpl w:val="BB9A9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67773"/>
    <w:multiLevelType w:val="hybridMultilevel"/>
    <w:tmpl w:val="60E4930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73A2623"/>
    <w:multiLevelType w:val="hybridMultilevel"/>
    <w:tmpl w:val="670E0CD4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78B28B3"/>
    <w:multiLevelType w:val="multilevel"/>
    <w:tmpl w:val="C7A6A544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9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0834404"/>
    <w:multiLevelType w:val="hybridMultilevel"/>
    <w:tmpl w:val="2904E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752E8"/>
    <w:multiLevelType w:val="hybridMultilevel"/>
    <w:tmpl w:val="92C627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1D84CA3"/>
    <w:multiLevelType w:val="hybridMultilevel"/>
    <w:tmpl w:val="A4D4FC1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E5E2EBF"/>
    <w:multiLevelType w:val="hybridMultilevel"/>
    <w:tmpl w:val="34309B6C"/>
    <w:lvl w:ilvl="0" w:tplc="62249CD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9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9"/>
  </w:num>
  <w:num w:numId="3">
    <w:abstractNumId w:val="9"/>
  </w:num>
  <w:num w:numId="4">
    <w:abstractNumId w:val="0"/>
  </w:num>
  <w:num w:numId="5">
    <w:abstractNumId w:val="2"/>
  </w:num>
  <w:num w:numId="6">
    <w:abstractNumId w:val="16"/>
  </w:num>
  <w:num w:numId="7">
    <w:abstractNumId w:val="20"/>
  </w:num>
  <w:num w:numId="8">
    <w:abstractNumId w:val="1"/>
  </w:num>
  <w:num w:numId="9">
    <w:abstractNumId w:val="17"/>
  </w:num>
  <w:num w:numId="10">
    <w:abstractNumId w:val="12"/>
  </w:num>
  <w:num w:numId="11">
    <w:abstractNumId w:val="15"/>
  </w:num>
  <w:num w:numId="12">
    <w:abstractNumId w:val="14"/>
  </w:num>
  <w:num w:numId="13">
    <w:abstractNumId w:val="11"/>
  </w:num>
  <w:num w:numId="14">
    <w:abstractNumId w:val="8"/>
  </w:num>
  <w:num w:numId="15">
    <w:abstractNumId w:val="6"/>
  </w:num>
  <w:num w:numId="16">
    <w:abstractNumId w:val="3"/>
  </w:num>
  <w:num w:numId="17">
    <w:abstractNumId w:val="7"/>
  </w:num>
  <w:num w:numId="18">
    <w:abstractNumId w:val="10"/>
  </w:num>
  <w:num w:numId="19">
    <w:abstractNumId w:val="5"/>
  </w:num>
  <w:num w:numId="20">
    <w:abstractNumId w:val="18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05BAA"/>
    <w:rsid w:val="000534E5"/>
    <w:rsid w:val="00075AAA"/>
    <w:rsid w:val="00097722"/>
    <w:rsid w:val="000B3486"/>
    <w:rsid w:val="000B5923"/>
    <w:rsid w:val="000C1F51"/>
    <w:rsid w:val="000D327A"/>
    <w:rsid w:val="000E7921"/>
    <w:rsid w:val="001061DA"/>
    <w:rsid w:val="001175E5"/>
    <w:rsid w:val="0014213C"/>
    <w:rsid w:val="0016079A"/>
    <w:rsid w:val="001626B1"/>
    <w:rsid w:val="00162874"/>
    <w:rsid w:val="0017648A"/>
    <w:rsid w:val="001849E6"/>
    <w:rsid w:val="001A624A"/>
    <w:rsid w:val="001A728C"/>
    <w:rsid w:val="001B3FD3"/>
    <w:rsid w:val="00200176"/>
    <w:rsid w:val="00245B2B"/>
    <w:rsid w:val="00272A9E"/>
    <w:rsid w:val="002759EC"/>
    <w:rsid w:val="002E6F02"/>
    <w:rsid w:val="00362A4C"/>
    <w:rsid w:val="003750E1"/>
    <w:rsid w:val="003E423D"/>
    <w:rsid w:val="003F19CA"/>
    <w:rsid w:val="003F2A75"/>
    <w:rsid w:val="004512CE"/>
    <w:rsid w:val="00463DB0"/>
    <w:rsid w:val="00513DB0"/>
    <w:rsid w:val="00590B0A"/>
    <w:rsid w:val="005D4E5B"/>
    <w:rsid w:val="005F3A78"/>
    <w:rsid w:val="00615B67"/>
    <w:rsid w:val="00617ACF"/>
    <w:rsid w:val="00686FCD"/>
    <w:rsid w:val="006951E1"/>
    <w:rsid w:val="006A1357"/>
    <w:rsid w:val="006D232B"/>
    <w:rsid w:val="006F4A23"/>
    <w:rsid w:val="00731BC7"/>
    <w:rsid w:val="007406E0"/>
    <w:rsid w:val="00745A4B"/>
    <w:rsid w:val="0076483C"/>
    <w:rsid w:val="00815350"/>
    <w:rsid w:val="00835CAF"/>
    <w:rsid w:val="00857820"/>
    <w:rsid w:val="00867E1A"/>
    <w:rsid w:val="00882F92"/>
    <w:rsid w:val="008A402E"/>
    <w:rsid w:val="008C26A2"/>
    <w:rsid w:val="008F329D"/>
    <w:rsid w:val="00952AC2"/>
    <w:rsid w:val="00957CDC"/>
    <w:rsid w:val="00992558"/>
    <w:rsid w:val="009D03E1"/>
    <w:rsid w:val="00A2577B"/>
    <w:rsid w:val="00A30C04"/>
    <w:rsid w:val="00A60D9C"/>
    <w:rsid w:val="00AD61CB"/>
    <w:rsid w:val="00B94DB9"/>
    <w:rsid w:val="00BA7237"/>
    <w:rsid w:val="00C404A1"/>
    <w:rsid w:val="00C956E2"/>
    <w:rsid w:val="00CB42BD"/>
    <w:rsid w:val="00CE3DAE"/>
    <w:rsid w:val="00D21663"/>
    <w:rsid w:val="00D346C3"/>
    <w:rsid w:val="00D74A4F"/>
    <w:rsid w:val="00D818D6"/>
    <w:rsid w:val="00D92AA6"/>
    <w:rsid w:val="00E24B58"/>
    <w:rsid w:val="00E41800"/>
    <w:rsid w:val="00E63FB1"/>
    <w:rsid w:val="00E95856"/>
    <w:rsid w:val="00EB7C07"/>
    <w:rsid w:val="00EE62AB"/>
    <w:rsid w:val="00EF6160"/>
    <w:rsid w:val="00F61FBB"/>
    <w:rsid w:val="00FA4FEF"/>
    <w:rsid w:val="00FD5E76"/>
    <w:rsid w:val="00FE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paragraph" w:customStyle="1" w:styleId="bodyText">
    <w:name w:val="body Text"/>
    <w:basedOn w:val="Normal"/>
    <w:rsid w:val="00A30C04"/>
    <w:rPr>
      <w:rFonts w:ascii="Arial" w:hAnsi="Arial"/>
      <w:szCs w:val="20"/>
      <w:lang w:eastAsia="en-GB"/>
    </w:rPr>
  </w:style>
  <w:style w:type="paragraph" w:styleId="BalloonText">
    <w:name w:val="Balloon Text"/>
    <w:basedOn w:val="Normal"/>
    <w:link w:val="BalloonTextChar"/>
    <w:rsid w:val="00A30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C0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HRPrivate$\Work\KSF%20Reports\KSF%20Trajectory%20charts\Directorate%20Trajectories%202016-17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Departments\HRDirectorate\HR\Private\Work\KSF%20Reports\KSF%20Chart%20by%20year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HRPrivate$\Work\KSF%20Reports\Board%20chart%20November%202015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HRPrivate$\Work\KSF%20Reports\Beardmore\2017\Hotel%2031%20March%202017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HRPrivate$\Work\KSF%20Reports\Corporate\2017\Corporate%20Summary%20@%2031st%20March%202017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HRPrivate$\Work\KSF%20Reports\Regional%20&amp;%20National%20Medicine\2017\Regional%20And%20National%20Medecine%20Summary%20@%2031%20March%202017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nwtc-filesrv\HRPrivate$\Work\KSF%20Reports\Surgical%20Services\2017\Surgical%20Services%20as%20at%2031st%20March%202017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GB"/>
              <a:t>NWTC KSF TRAJECTORY 2016/17</a:t>
            </a:r>
          </a:p>
        </c:rich>
      </c:tx>
      <c:layout>
        <c:manualLayout>
          <c:xMode val="edge"/>
          <c:yMode val="edge"/>
          <c:x val="0.3622290634723293"/>
          <c:y val="2.0270296721384449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7.3271413828689402E-2"/>
          <c:y val="0.12331081081081081"/>
          <c:w val="0.76780185758514186"/>
          <c:h val="0.76520270270270252"/>
        </c:manualLayout>
      </c:layout>
      <c:lineChart>
        <c:grouping val="standard"/>
        <c:ser>
          <c:idx val="0"/>
          <c:order val="0"/>
          <c:tx>
            <c:strRef>
              <c:f>'UPDATE DATA'!$B$28</c:f>
              <c:strCache>
                <c:ptCount val="1"/>
                <c:pt idx="0">
                  <c:v>TARGET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Val val="1"/>
          </c:dLbls>
          <c:cat>
            <c:numRef>
              <c:f>'UPDATE DATA'!$A$29:$A$40</c:f>
              <c:numCache>
                <c:formatCode>mmm\-yy</c:formatCode>
                <c:ptCount val="12"/>
                <c:pt idx="0">
                  <c:v>42461</c:v>
                </c:pt>
                <c:pt idx="1">
                  <c:v>42491</c:v>
                </c:pt>
                <c:pt idx="2">
                  <c:v>42522</c:v>
                </c:pt>
                <c:pt idx="3">
                  <c:v>42552</c:v>
                </c:pt>
                <c:pt idx="4">
                  <c:v>42583</c:v>
                </c:pt>
                <c:pt idx="5">
                  <c:v>42614</c:v>
                </c:pt>
                <c:pt idx="6">
                  <c:v>42644</c:v>
                </c:pt>
                <c:pt idx="7">
                  <c:v>42675</c:v>
                </c:pt>
                <c:pt idx="8">
                  <c:v>42705</c:v>
                </c:pt>
                <c:pt idx="9">
                  <c:v>42736</c:v>
                </c:pt>
                <c:pt idx="10">
                  <c:v>42767</c:v>
                </c:pt>
                <c:pt idx="11">
                  <c:v>42795</c:v>
                </c:pt>
              </c:numCache>
            </c:numRef>
          </c:cat>
          <c:val>
            <c:numRef>
              <c:f>'UPDATE DATA'!$B$29:$B$40</c:f>
              <c:numCache>
                <c:formatCode>General</c:formatCode>
                <c:ptCount val="12"/>
                <c:pt idx="0">
                  <c:v>80</c:v>
                </c:pt>
                <c:pt idx="1">
                  <c:v>80</c:v>
                </c:pt>
                <c:pt idx="2">
                  <c:v>80</c:v>
                </c:pt>
                <c:pt idx="3">
                  <c:v>80</c:v>
                </c:pt>
                <c:pt idx="4">
                  <c:v>80</c:v>
                </c:pt>
                <c:pt idx="5">
                  <c:v>80</c:v>
                </c:pt>
                <c:pt idx="6">
                  <c:v>80</c:v>
                </c:pt>
                <c:pt idx="7">
                  <c:v>80</c:v>
                </c:pt>
                <c:pt idx="8">
                  <c:v>80</c:v>
                </c:pt>
                <c:pt idx="9">
                  <c:v>80</c:v>
                </c:pt>
                <c:pt idx="10">
                  <c:v>80</c:v>
                </c:pt>
                <c:pt idx="11">
                  <c:v>80</c:v>
                </c:pt>
              </c:numCache>
            </c:numRef>
          </c:val>
        </c:ser>
        <c:ser>
          <c:idx val="1"/>
          <c:order val="1"/>
          <c:tx>
            <c:strRef>
              <c:f>'UPDATE DATA'!$C$28</c:f>
              <c:strCache>
                <c:ptCount val="1"/>
                <c:pt idx="0">
                  <c:v>STATUS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Val val="1"/>
          </c:dLbls>
          <c:cat>
            <c:numRef>
              <c:f>'UPDATE DATA'!$A$29:$A$40</c:f>
              <c:numCache>
                <c:formatCode>mmm\-yy</c:formatCode>
                <c:ptCount val="12"/>
                <c:pt idx="0">
                  <c:v>42461</c:v>
                </c:pt>
                <c:pt idx="1">
                  <c:v>42491</c:v>
                </c:pt>
                <c:pt idx="2">
                  <c:v>42522</c:v>
                </c:pt>
                <c:pt idx="3">
                  <c:v>42552</c:v>
                </c:pt>
                <c:pt idx="4">
                  <c:v>42583</c:v>
                </c:pt>
                <c:pt idx="5">
                  <c:v>42614</c:v>
                </c:pt>
                <c:pt idx="6">
                  <c:v>42644</c:v>
                </c:pt>
                <c:pt idx="7">
                  <c:v>42675</c:v>
                </c:pt>
                <c:pt idx="8">
                  <c:v>42705</c:v>
                </c:pt>
                <c:pt idx="9">
                  <c:v>42736</c:v>
                </c:pt>
                <c:pt idx="10">
                  <c:v>42767</c:v>
                </c:pt>
                <c:pt idx="11">
                  <c:v>42795</c:v>
                </c:pt>
              </c:numCache>
            </c:numRef>
          </c:cat>
          <c:val>
            <c:numRef>
              <c:f>'UPDATE DATA'!$C$29:$C$40</c:f>
              <c:numCache>
                <c:formatCode>General</c:formatCode>
                <c:ptCount val="12"/>
                <c:pt idx="0">
                  <c:v>69.5</c:v>
                </c:pt>
                <c:pt idx="1">
                  <c:v>72</c:v>
                </c:pt>
                <c:pt idx="2">
                  <c:v>74</c:v>
                </c:pt>
                <c:pt idx="3">
                  <c:v>71</c:v>
                </c:pt>
                <c:pt idx="4">
                  <c:v>72</c:v>
                </c:pt>
                <c:pt idx="5">
                  <c:v>71</c:v>
                </c:pt>
                <c:pt idx="6">
                  <c:v>67</c:v>
                </c:pt>
                <c:pt idx="7">
                  <c:v>66</c:v>
                </c:pt>
                <c:pt idx="8">
                  <c:v>67</c:v>
                </c:pt>
                <c:pt idx="9">
                  <c:v>71</c:v>
                </c:pt>
                <c:pt idx="10">
                  <c:v>76</c:v>
                </c:pt>
                <c:pt idx="11">
                  <c:v>84</c:v>
                </c:pt>
              </c:numCache>
            </c:numRef>
          </c:val>
        </c:ser>
        <c:marker val="1"/>
        <c:axId val="99980416"/>
        <c:axId val="99981952"/>
      </c:lineChart>
      <c:dateAx>
        <c:axId val="99980416"/>
        <c:scaling>
          <c:orientation val="minMax"/>
        </c:scaling>
        <c:axPos val="b"/>
        <c:numFmt formatCode="mmm\-yy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9981952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99981952"/>
        <c:scaling>
          <c:orientation val="minMax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999804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5015491484617172"/>
          <c:y val="0.47860367454068242"/>
          <c:w val="0.11902314842223705"/>
          <c:h val="7.2635081631745299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>
      <c:tx>
        <c:rich>
          <a:bodyPr/>
          <a:lstStyle/>
          <a:p>
            <a:pPr>
              <a:defRPr/>
            </a:pPr>
            <a:r>
              <a:rPr lang="en-US" sz="1400"/>
              <a:t>KSF Completion Rates by Year </a:t>
            </a:r>
          </a:p>
          <a:p>
            <a:pPr>
              <a:defRPr/>
            </a:pPr>
            <a:r>
              <a:rPr lang="en-US" sz="1400"/>
              <a:t>as at 31st</a:t>
            </a:r>
            <a:r>
              <a:rPr lang="en-US" sz="1400" baseline="0"/>
              <a:t> March 2017</a:t>
            </a:r>
            <a:endParaRPr lang="en-US" sz="1400"/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Sheet1!$B$16</c:f>
              <c:strCache>
                <c:ptCount val="1"/>
                <c:pt idx="0">
                  <c:v>13/14</c:v>
                </c:pt>
              </c:strCache>
            </c:strRef>
          </c:tx>
          <c:cat>
            <c:strRef>
              <c:f>Sheet1!$A$17:$A$28</c:f>
              <c:strCache>
                <c:ptCount val="12"/>
                <c:pt idx="0">
                  <c:v>Apr</c:v>
                </c:pt>
                <c:pt idx="1">
                  <c:v>May</c:v>
                </c:pt>
                <c:pt idx="2">
                  <c:v>Jun</c:v>
                </c:pt>
                <c:pt idx="3">
                  <c:v>Jul</c:v>
                </c:pt>
                <c:pt idx="4">
                  <c:v>Aug</c:v>
                </c:pt>
                <c:pt idx="5">
                  <c:v>Sep</c:v>
                </c:pt>
                <c:pt idx="6">
                  <c:v>Oct</c:v>
                </c:pt>
                <c:pt idx="7">
                  <c:v>Nov</c:v>
                </c:pt>
                <c:pt idx="8">
                  <c:v>Dec</c:v>
                </c:pt>
                <c:pt idx="9">
                  <c:v>Jan</c:v>
                </c:pt>
                <c:pt idx="10">
                  <c:v>Feb</c:v>
                </c:pt>
                <c:pt idx="11">
                  <c:v>Mar</c:v>
                </c:pt>
              </c:strCache>
            </c:strRef>
          </c:cat>
          <c:val>
            <c:numRef>
              <c:f>Sheet1!$B$17:$B$28</c:f>
              <c:numCache>
                <c:formatCode>General</c:formatCode>
                <c:ptCount val="12"/>
                <c:pt idx="0">
                  <c:v>54.5</c:v>
                </c:pt>
                <c:pt idx="1">
                  <c:v>55</c:v>
                </c:pt>
                <c:pt idx="2">
                  <c:v>54</c:v>
                </c:pt>
                <c:pt idx="3">
                  <c:v>54</c:v>
                </c:pt>
                <c:pt idx="4">
                  <c:v>52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48</c:v>
                </c:pt>
                <c:pt idx="9">
                  <c:v>45.5</c:v>
                </c:pt>
                <c:pt idx="10">
                  <c:v>48.5</c:v>
                </c:pt>
                <c:pt idx="11">
                  <c:v>54</c:v>
                </c:pt>
              </c:numCache>
            </c:numRef>
          </c:val>
        </c:ser>
        <c:ser>
          <c:idx val="1"/>
          <c:order val="1"/>
          <c:tx>
            <c:strRef>
              <c:f>Sheet1!$C$16</c:f>
              <c:strCache>
                <c:ptCount val="1"/>
                <c:pt idx="0">
                  <c:v>14/15</c:v>
                </c:pt>
              </c:strCache>
            </c:strRef>
          </c:tx>
          <c:cat>
            <c:strRef>
              <c:f>Sheet1!$A$17:$A$28</c:f>
              <c:strCache>
                <c:ptCount val="12"/>
                <c:pt idx="0">
                  <c:v>Apr</c:v>
                </c:pt>
                <c:pt idx="1">
                  <c:v>May</c:v>
                </c:pt>
                <c:pt idx="2">
                  <c:v>Jun</c:v>
                </c:pt>
                <c:pt idx="3">
                  <c:v>Jul</c:v>
                </c:pt>
                <c:pt idx="4">
                  <c:v>Aug</c:v>
                </c:pt>
                <c:pt idx="5">
                  <c:v>Sep</c:v>
                </c:pt>
                <c:pt idx="6">
                  <c:v>Oct</c:v>
                </c:pt>
                <c:pt idx="7">
                  <c:v>Nov</c:v>
                </c:pt>
                <c:pt idx="8">
                  <c:v>Dec</c:v>
                </c:pt>
                <c:pt idx="9">
                  <c:v>Jan</c:v>
                </c:pt>
                <c:pt idx="10">
                  <c:v>Feb</c:v>
                </c:pt>
                <c:pt idx="11">
                  <c:v>Mar</c:v>
                </c:pt>
              </c:strCache>
            </c:strRef>
          </c:cat>
          <c:val>
            <c:numRef>
              <c:f>Sheet1!$C$17:$C$28</c:f>
              <c:numCache>
                <c:formatCode>General</c:formatCode>
                <c:ptCount val="12"/>
                <c:pt idx="0">
                  <c:v>52.5</c:v>
                </c:pt>
                <c:pt idx="1">
                  <c:v>50.5</c:v>
                </c:pt>
                <c:pt idx="2">
                  <c:v>49.5</c:v>
                </c:pt>
                <c:pt idx="3">
                  <c:v>56</c:v>
                </c:pt>
                <c:pt idx="4">
                  <c:v>55.5</c:v>
                </c:pt>
                <c:pt idx="5">
                  <c:v>60</c:v>
                </c:pt>
                <c:pt idx="6">
                  <c:v>63</c:v>
                </c:pt>
                <c:pt idx="7">
                  <c:v>65</c:v>
                </c:pt>
                <c:pt idx="8">
                  <c:v>67</c:v>
                </c:pt>
                <c:pt idx="9">
                  <c:v>66</c:v>
                </c:pt>
                <c:pt idx="10">
                  <c:v>61</c:v>
                </c:pt>
                <c:pt idx="11">
                  <c:v>80</c:v>
                </c:pt>
              </c:numCache>
            </c:numRef>
          </c:val>
        </c:ser>
        <c:ser>
          <c:idx val="2"/>
          <c:order val="2"/>
          <c:tx>
            <c:strRef>
              <c:f>Sheet1!$D$16</c:f>
              <c:strCache>
                <c:ptCount val="1"/>
                <c:pt idx="0">
                  <c:v>15/16</c:v>
                </c:pt>
              </c:strCache>
            </c:strRef>
          </c:tx>
          <c:cat>
            <c:strRef>
              <c:f>Sheet1!$A$17:$A$28</c:f>
              <c:strCache>
                <c:ptCount val="12"/>
                <c:pt idx="0">
                  <c:v>Apr</c:v>
                </c:pt>
                <c:pt idx="1">
                  <c:v>May</c:v>
                </c:pt>
                <c:pt idx="2">
                  <c:v>Jun</c:v>
                </c:pt>
                <c:pt idx="3">
                  <c:v>Jul</c:v>
                </c:pt>
                <c:pt idx="4">
                  <c:v>Aug</c:v>
                </c:pt>
                <c:pt idx="5">
                  <c:v>Sep</c:v>
                </c:pt>
                <c:pt idx="6">
                  <c:v>Oct</c:v>
                </c:pt>
                <c:pt idx="7">
                  <c:v>Nov</c:v>
                </c:pt>
                <c:pt idx="8">
                  <c:v>Dec</c:v>
                </c:pt>
                <c:pt idx="9">
                  <c:v>Jan</c:v>
                </c:pt>
                <c:pt idx="10">
                  <c:v>Feb</c:v>
                </c:pt>
                <c:pt idx="11">
                  <c:v>Mar</c:v>
                </c:pt>
              </c:strCache>
            </c:strRef>
          </c:cat>
          <c:val>
            <c:numRef>
              <c:f>Sheet1!$D$17:$D$28</c:f>
              <c:numCache>
                <c:formatCode>General</c:formatCode>
                <c:ptCount val="12"/>
                <c:pt idx="0">
                  <c:v>80</c:v>
                </c:pt>
                <c:pt idx="1">
                  <c:v>78</c:v>
                </c:pt>
                <c:pt idx="2">
                  <c:v>74</c:v>
                </c:pt>
                <c:pt idx="3">
                  <c:v>75</c:v>
                </c:pt>
                <c:pt idx="4">
                  <c:v>67.5</c:v>
                </c:pt>
                <c:pt idx="5">
                  <c:v>67</c:v>
                </c:pt>
                <c:pt idx="6">
                  <c:v>69</c:v>
                </c:pt>
                <c:pt idx="7">
                  <c:v>70</c:v>
                </c:pt>
                <c:pt idx="8">
                  <c:v>71</c:v>
                </c:pt>
                <c:pt idx="9">
                  <c:v>71</c:v>
                </c:pt>
                <c:pt idx="10">
                  <c:v>65</c:v>
                </c:pt>
                <c:pt idx="11">
                  <c:v>71</c:v>
                </c:pt>
              </c:numCache>
            </c:numRef>
          </c:val>
        </c:ser>
        <c:ser>
          <c:idx val="3"/>
          <c:order val="3"/>
          <c:tx>
            <c:strRef>
              <c:f>Sheet1!$E$16</c:f>
              <c:strCache>
                <c:ptCount val="1"/>
                <c:pt idx="0">
                  <c:v>16/17</c:v>
                </c:pt>
              </c:strCache>
            </c:strRef>
          </c:tx>
          <c:trendline>
            <c:spPr>
              <a:ln>
                <a:solidFill>
                  <a:srgbClr val="FFFF00"/>
                </a:solidFill>
              </a:ln>
            </c:spPr>
            <c:trendlineType val="linear"/>
          </c:trendline>
          <c:cat>
            <c:strRef>
              <c:f>Sheet1!$A$17:$A$28</c:f>
              <c:strCache>
                <c:ptCount val="12"/>
                <c:pt idx="0">
                  <c:v>Apr</c:v>
                </c:pt>
                <c:pt idx="1">
                  <c:v>May</c:v>
                </c:pt>
                <c:pt idx="2">
                  <c:v>Jun</c:v>
                </c:pt>
                <c:pt idx="3">
                  <c:v>Jul</c:v>
                </c:pt>
                <c:pt idx="4">
                  <c:v>Aug</c:v>
                </c:pt>
                <c:pt idx="5">
                  <c:v>Sep</c:v>
                </c:pt>
                <c:pt idx="6">
                  <c:v>Oct</c:v>
                </c:pt>
                <c:pt idx="7">
                  <c:v>Nov</c:v>
                </c:pt>
                <c:pt idx="8">
                  <c:v>Dec</c:v>
                </c:pt>
                <c:pt idx="9">
                  <c:v>Jan</c:v>
                </c:pt>
                <c:pt idx="10">
                  <c:v>Feb</c:v>
                </c:pt>
                <c:pt idx="11">
                  <c:v>Mar</c:v>
                </c:pt>
              </c:strCache>
            </c:strRef>
          </c:cat>
          <c:val>
            <c:numRef>
              <c:f>Sheet1!$E$17:$E$28</c:f>
              <c:numCache>
                <c:formatCode>General</c:formatCode>
                <c:ptCount val="12"/>
                <c:pt idx="0">
                  <c:v>69.5</c:v>
                </c:pt>
                <c:pt idx="1">
                  <c:v>72</c:v>
                </c:pt>
                <c:pt idx="2">
                  <c:v>74</c:v>
                </c:pt>
                <c:pt idx="3">
                  <c:v>71</c:v>
                </c:pt>
                <c:pt idx="4">
                  <c:v>72</c:v>
                </c:pt>
                <c:pt idx="5">
                  <c:v>71</c:v>
                </c:pt>
                <c:pt idx="6">
                  <c:v>67</c:v>
                </c:pt>
                <c:pt idx="7">
                  <c:v>66</c:v>
                </c:pt>
                <c:pt idx="8">
                  <c:v>67</c:v>
                </c:pt>
                <c:pt idx="9">
                  <c:v>71</c:v>
                </c:pt>
                <c:pt idx="10">
                  <c:v>76</c:v>
                </c:pt>
                <c:pt idx="11">
                  <c:v>84</c:v>
                </c:pt>
              </c:numCache>
            </c:numRef>
          </c:val>
        </c:ser>
        <c:marker val="1"/>
        <c:axId val="94122752"/>
        <c:axId val="94124288"/>
      </c:lineChart>
      <c:catAx>
        <c:axId val="94122752"/>
        <c:scaling>
          <c:orientation val="minMax"/>
        </c:scaling>
        <c:axPos val="b"/>
        <c:majorTickMark val="none"/>
        <c:tickLblPos val="nextTo"/>
        <c:crossAx val="94124288"/>
        <c:crosses val="autoZero"/>
        <c:auto val="1"/>
        <c:lblAlgn val="ctr"/>
        <c:lblOffset val="100"/>
      </c:catAx>
      <c:valAx>
        <c:axId val="9412428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</a:t>
                </a:r>
              </a:p>
            </c:rich>
          </c:tx>
          <c:layout/>
        </c:title>
        <c:numFmt formatCode="General" sourceLinked="1"/>
        <c:majorTickMark val="none"/>
        <c:tickLblPos val="nextTo"/>
        <c:crossAx val="9412275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>
      <c:tx>
        <c:rich>
          <a:bodyPr/>
          <a:lstStyle/>
          <a:p>
            <a:pPr>
              <a:defRPr/>
            </a:pPr>
            <a:r>
              <a:rPr lang="en-GB" sz="1400"/>
              <a:t> KSF percentages by Division </a:t>
            </a:r>
          </a:p>
          <a:p>
            <a:pPr>
              <a:defRPr/>
            </a:pPr>
            <a:r>
              <a:rPr lang="en-GB" sz="1400"/>
              <a:t>14/15, 15/16 and 16/17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2014/15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Surgical</c:v>
                </c:pt>
                <c:pt idx="1">
                  <c:v>RNM</c:v>
                </c:pt>
                <c:pt idx="2">
                  <c:v>Corporate</c:v>
                </c:pt>
                <c:pt idx="3">
                  <c:v>Hotel</c:v>
                </c:pt>
                <c:pt idx="4">
                  <c:v>NWTC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77</c:v>
                </c:pt>
                <c:pt idx="1">
                  <c:v>83</c:v>
                </c:pt>
                <c:pt idx="2">
                  <c:v>83</c:v>
                </c:pt>
                <c:pt idx="3">
                  <c:v>80</c:v>
                </c:pt>
                <c:pt idx="4">
                  <c:v>80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2015/16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Surgical</c:v>
                </c:pt>
                <c:pt idx="1">
                  <c:v>RNM</c:v>
                </c:pt>
                <c:pt idx="2">
                  <c:v>Corporate</c:v>
                </c:pt>
                <c:pt idx="3">
                  <c:v>Hotel</c:v>
                </c:pt>
                <c:pt idx="4">
                  <c:v>NWTC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65</c:v>
                </c:pt>
                <c:pt idx="1">
                  <c:v>82</c:v>
                </c:pt>
                <c:pt idx="2">
                  <c:v>70</c:v>
                </c:pt>
                <c:pt idx="3">
                  <c:v>80</c:v>
                </c:pt>
                <c:pt idx="4">
                  <c:v>71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2016/17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Surgical</c:v>
                </c:pt>
                <c:pt idx="1">
                  <c:v>RNM</c:v>
                </c:pt>
                <c:pt idx="2">
                  <c:v>Corporate</c:v>
                </c:pt>
                <c:pt idx="3">
                  <c:v>Hotel</c:v>
                </c:pt>
                <c:pt idx="4">
                  <c:v>NWTC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80</c:v>
                </c:pt>
                <c:pt idx="1">
                  <c:v>85</c:v>
                </c:pt>
                <c:pt idx="2">
                  <c:v>88</c:v>
                </c:pt>
                <c:pt idx="3">
                  <c:v>93</c:v>
                </c:pt>
                <c:pt idx="4">
                  <c:v>84</c:v>
                </c:pt>
              </c:numCache>
            </c:numRef>
          </c:val>
        </c:ser>
        <c:axId val="94163712"/>
        <c:axId val="94165248"/>
      </c:barChart>
      <c:catAx>
        <c:axId val="94163712"/>
        <c:scaling>
          <c:orientation val="minMax"/>
        </c:scaling>
        <c:axPos val="b"/>
        <c:majorTickMark val="none"/>
        <c:tickLblPos val="nextTo"/>
        <c:crossAx val="94165248"/>
        <c:crosses val="autoZero"/>
        <c:auto val="1"/>
        <c:lblAlgn val="ctr"/>
        <c:lblOffset val="100"/>
      </c:catAx>
      <c:valAx>
        <c:axId val="94165248"/>
        <c:scaling>
          <c:orientation val="minMax"/>
        </c:scaling>
        <c:axPos val="l"/>
        <c:numFmt formatCode="General" sourceLinked="1"/>
        <c:majorTickMark val="none"/>
        <c:tickLblPos val="nextTo"/>
        <c:crossAx val="941637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n-GB" sz="12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Golden Jubilee Conference Hotel KSF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n-GB" sz="12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status as 31st March 2017</a:t>
            </a:r>
          </a:p>
        </c:rich>
      </c:tx>
      <c:layout/>
      <c:spPr>
        <a:noFill/>
        <a:ln w="25400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Sheet2!$B$5</c:f>
              <c:strCache>
                <c:ptCount val="1"/>
                <c:pt idx="0">
                  <c:v>KSF Review %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Val val="1"/>
          </c:dLbls>
          <c:cat>
            <c:strRef>
              <c:f>Sheet2!$A$6:$A$14</c:f>
              <c:strCache>
                <c:ptCount val="9"/>
                <c:pt idx="0">
                  <c:v>Accounts</c:v>
                </c:pt>
                <c:pt idx="1">
                  <c:v>Events</c:v>
                </c:pt>
                <c:pt idx="2">
                  <c:v>Food &amp; Beverage</c:v>
                </c:pt>
                <c:pt idx="3">
                  <c:v>Front Office</c:v>
                </c:pt>
                <c:pt idx="4">
                  <c:v>General &amp; Admin</c:v>
                </c:pt>
                <c:pt idx="5">
                  <c:v>Housekeeping</c:v>
                </c:pt>
                <c:pt idx="6">
                  <c:v>Kitchen</c:v>
                </c:pt>
                <c:pt idx="7">
                  <c:v>Leisure Club</c:v>
                </c:pt>
                <c:pt idx="8">
                  <c:v>Sales</c:v>
                </c:pt>
              </c:strCache>
            </c:strRef>
          </c:cat>
          <c:val>
            <c:numRef>
              <c:f>Sheet2!$B$6:$B$14</c:f>
              <c:numCache>
                <c:formatCode>General</c:formatCode>
                <c:ptCount val="9"/>
                <c:pt idx="0">
                  <c:v>100</c:v>
                </c:pt>
                <c:pt idx="1">
                  <c:v>0</c:v>
                </c:pt>
                <c:pt idx="2">
                  <c:v>100</c:v>
                </c:pt>
                <c:pt idx="3">
                  <c:v>100</c:v>
                </c:pt>
                <c:pt idx="4">
                  <c:v>50</c:v>
                </c:pt>
                <c:pt idx="5">
                  <c:v>100</c:v>
                </c:pt>
                <c:pt idx="6">
                  <c:v>100</c:v>
                </c:pt>
                <c:pt idx="7">
                  <c:v>80</c:v>
                </c:pt>
                <c:pt idx="8">
                  <c:v>100</c:v>
                </c:pt>
              </c:numCache>
            </c:numRef>
          </c:val>
        </c:ser>
        <c:axId val="100311040"/>
        <c:axId val="100312576"/>
      </c:barChart>
      <c:catAx>
        <c:axId val="1003110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0312576"/>
        <c:crosses val="autoZero"/>
        <c:auto val="1"/>
        <c:lblAlgn val="ctr"/>
        <c:lblOffset val="100"/>
      </c:catAx>
      <c:valAx>
        <c:axId val="100312576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03110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4680134680134678"/>
          <c:y val="0.52927927927927965"/>
          <c:w val="0.13973063973063971"/>
          <c:h val="4.7297297297297376E-2"/>
        </c:manualLayout>
      </c:layout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GB"/>
              <a:t>Corporate KSF status as at 31st March 2017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Sheet2!$B$3</c:f>
              <c:strCache>
                <c:ptCount val="1"/>
                <c:pt idx="0">
                  <c:v>KSF Review %</c:v>
                </c:pt>
              </c:strCache>
            </c:strRef>
          </c:tx>
          <c:dLbls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Val val="1"/>
          </c:dLbls>
          <c:cat>
            <c:strRef>
              <c:f>Sheet2!$A$4:$A$30</c:f>
              <c:strCache>
                <c:ptCount val="27"/>
                <c:pt idx="0">
                  <c:v>Booking Office</c:v>
                </c:pt>
                <c:pt idx="1">
                  <c:v>Catering</c:v>
                </c:pt>
                <c:pt idx="2">
                  <c:v>Research Institute</c:v>
                </c:pt>
                <c:pt idx="3">
                  <c:v>CHD Audit</c:v>
                </c:pt>
                <c:pt idx="4">
                  <c:v>Clinical Gov</c:v>
                </c:pt>
                <c:pt idx="5">
                  <c:v>Comms</c:v>
                </c:pt>
                <c:pt idx="6">
                  <c:v>Exec PA's</c:v>
                </c:pt>
                <c:pt idx="7">
                  <c:v>Finance</c:v>
                </c:pt>
                <c:pt idx="8">
                  <c:v>Housekeeping</c:v>
                </c:pt>
                <c:pt idx="9">
                  <c:v>OCC Health</c:v>
                </c:pt>
                <c:pt idx="10">
                  <c:v>HR</c:v>
                </c:pt>
                <c:pt idx="11">
                  <c:v>E-Health</c:v>
                </c:pt>
                <c:pt idx="12">
                  <c:v>Inf Control</c:v>
                </c:pt>
                <c:pt idx="13">
                  <c:v>L&amp;OD</c:v>
                </c:pt>
                <c:pt idx="14">
                  <c:v>Engineering</c:v>
                </c:pt>
                <c:pt idx="15">
                  <c:v>Materials</c:v>
                </c:pt>
                <c:pt idx="16">
                  <c:v>Medical Records</c:v>
                </c:pt>
                <c:pt idx="17">
                  <c:v>Patient Services Admin</c:v>
                </c:pt>
                <c:pt idx="18">
                  <c:v>P &amp; P</c:v>
                </c:pt>
                <c:pt idx="19">
                  <c:v>Reception</c:v>
                </c:pt>
                <c:pt idx="20">
                  <c:v>Security</c:v>
                </c:pt>
                <c:pt idx="21">
                  <c:v>Senior Nurses</c:v>
                </c:pt>
                <c:pt idx="22">
                  <c:v>Medical Sec</c:v>
                </c:pt>
                <c:pt idx="23">
                  <c:v>Transport</c:v>
                </c:pt>
                <c:pt idx="24">
                  <c:v>Resuscitation</c:v>
                </c:pt>
                <c:pt idx="25">
                  <c:v>Waiting List Co-ord</c:v>
                </c:pt>
                <c:pt idx="26">
                  <c:v>Pharmacy</c:v>
                </c:pt>
              </c:strCache>
            </c:strRef>
          </c:cat>
          <c:val>
            <c:numRef>
              <c:f>Sheet2!$B$4:$B$30</c:f>
              <c:numCache>
                <c:formatCode>General</c:formatCode>
                <c:ptCount val="27"/>
                <c:pt idx="0">
                  <c:v>87</c:v>
                </c:pt>
                <c:pt idx="1">
                  <c:v>82</c:v>
                </c:pt>
                <c:pt idx="2">
                  <c:v>61</c:v>
                </c:pt>
                <c:pt idx="3">
                  <c:v>100</c:v>
                </c:pt>
                <c:pt idx="4">
                  <c:v>90</c:v>
                </c:pt>
                <c:pt idx="5">
                  <c:v>83</c:v>
                </c:pt>
                <c:pt idx="6">
                  <c:v>71</c:v>
                </c:pt>
                <c:pt idx="7">
                  <c:v>75</c:v>
                </c:pt>
                <c:pt idx="8">
                  <c:v>99</c:v>
                </c:pt>
                <c:pt idx="9">
                  <c:v>100</c:v>
                </c:pt>
                <c:pt idx="10">
                  <c:v>100</c:v>
                </c:pt>
                <c:pt idx="11">
                  <c:v>81</c:v>
                </c:pt>
                <c:pt idx="12">
                  <c:v>88</c:v>
                </c:pt>
                <c:pt idx="13">
                  <c:v>100</c:v>
                </c:pt>
                <c:pt idx="14">
                  <c:v>92</c:v>
                </c:pt>
                <c:pt idx="15">
                  <c:v>87</c:v>
                </c:pt>
                <c:pt idx="16">
                  <c:v>86</c:v>
                </c:pt>
                <c:pt idx="17">
                  <c:v>100</c:v>
                </c:pt>
                <c:pt idx="18">
                  <c:v>86</c:v>
                </c:pt>
                <c:pt idx="19">
                  <c:v>90</c:v>
                </c:pt>
                <c:pt idx="20">
                  <c:v>100</c:v>
                </c:pt>
                <c:pt idx="21">
                  <c:v>83</c:v>
                </c:pt>
                <c:pt idx="22">
                  <c:v>95</c:v>
                </c:pt>
                <c:pt idx="23">
                  <c:v>100</c:v>
                </c:pt>
                <c:pt idx="24">
                  <c:v>100</c:v>
                </c:pt>
                <c:pt idx="25">
                  <c:v>83</c:v>
                </c:pt>
                <c:pt idx="26">
                  <c:v>80</c:v>
                </c:pt>
              </c:numCache>
            </c:numRef>
          </c:val>
        </c:ser>
        <c:axId val="101271040"/>
        <c:axId val="101272576"/>
      </c:barChart>
      <c:catAx>
        <c:axId val="1012710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1272576"/>
        <c:crosses val="autoZero"/>
        <c:auto val="1"/>
        <c:lblAlgn val="ctr"/>
        <c:lblOffset val="100"/>
      </c:catAx>
      <c:valAx>
        <c:axId val="101272576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127104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n-GB" sz="12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Regional &amp; National Medicine KSF status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en-GB" sz="12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as 31st March 2017</a:t>
            </a:r>
          </a:p>
        </c:rich>
      </c:tx>
      <c:layout>
        <c:manualLayout>
          <c:xMode val="edge"/>
          <c:yMode val="edge"/>
          <c:x val="0.31596444581235256"/>
          <c:y val="1.6494845360824743E-2"/>
        </c:manualLayout>
      </c:layout>
    </c:title>
    <c:plotArea>
      <c:layout>
        <c:manualLayout>
          <c:layoutTarget val="inner"/>
          <c:xMode val="edge"/>
          <c:yMode val="edge"/>
          <c:x val="4.1962832821793132E-2"/>
          <c:y val="0.13116843899667191"/>
          <c:w val="0.78021812420027259"/>
          <c:h val="0.6636047298211436"/>
        </c:manualLayout>
      </c:layout>
      <c:barChart>
        <c:barDir val="col"/>
        <c:grouping val="clustered"/>
        <c:ser>
          <c:idx val="0"/>
          <c:order val="0"/>
          <c:tx>
            <c:strRef>
              <c:f>Sheet2!$B$29</c:f>
              <c:strCache>
                <c:ptCount val="1"/>
                <c:pt idx="0">
                  <c:v>KSF Review %</c:v>
                </c:pt>
              </c:strCache>
            </c:strRef>
          </c:tx>
          <c:dLbls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Val val="1"/>
          </c:dLbls>
          <c:cat>
            <c:strRef>
              <c:f>Sheet2!$A$30:$A$42</c:f>
              <c:strCache>
                <c:ptCount val="13"/>
                <c:pt idx="0">
                  <c:v>Labs</c:v>
                </c:pt>
                <c:pt idx="1">
                  <c:v>Cardiac Physiology</c:v>
                </c:pt>
                <c:pt idx="2">
                  <c:v>Cath Lab</c:v>
                </c:pt>
                <c:pt idx="3">
                  <c:v>Dietetics</c:v>
                </c:pt>
                <c:pt idx="4">
                  <c:v>CCU</c:v>
                </c:pt>
                <c:pt idx="5">
                  <c:v>Directorate Admin</c:v>
                </c:pt>
                <c:pt idx="6">
                  <c:v>GUCH</c:v>
                </c:pt>
                <c:pt idx="7">
                  <c:v>Heart Transplant</c:v>
                </c:pt>
                <c:pt idx="8">
                  <c:v>Medical Physics</c:v>
                </c:pt>
                <c:pt idx="9">
                  <c:v>Radiology Admin</c:v>
                </c:pt>
                <c:pt idx="10">
                  <c:v>Radiology General</c:v>
                </c:pt>
                <c:pt idx="11">
                  <c:v>Rehab Services</c:v>
                </c:pt>
                <c:pt idx="12">
                  <c:v>Ward 2C</c:v>
                </c:pt>
              </c:strCache>
            </c:strRef>
          </c:cat>
          <c:val>
            <c:numRef>
              <c:f>Sheet2!$B$30:$B$42</c:f>
              <c:numCache>
                <c:formatCode>General</c:formatCode>
                <c:ptCount val="13"/>
                <c:pt idx="0">
                  <c:v>83</c:v>
                </c:pt>
                <c:pt idx="1">
                  <c:v>88</c:v>
                </c:pt>
                <c:pt idx="2">
                  <c:v>80</c:v>
                </c:pt>
                <c:pt idx="3">
                  <c:v>67</c:v>
                </c:pt>
                <c:pt idx="4">
                  <c:v>76</c:v>
                </c:pt>
                <c:pt idx="5">
                  <c:v>60</c:v>
                </c:pt>
                <c:pt idx="6">
                  <c:v>100</c:v>
                </c:pt>
                <c:pt idx="7">
                  <c:v>96</c:v>
                </c:pt>
                <c:pt idx="8">
                  <c:v>93</c:v>
                </c:pt>
                <c:pt idx="9">
                  <c:v>80</c:v>
                </c:pt>
                <c:pt idx="10">
                  <c:v>96</c:v>
                </c:pt>
                <c:pt idx="11">
                  <c:v>89</c:v>
                </c:pt>
                <c:pt idx="12">
                  <c:v>71</c:v>
                </c:pt>
              </c:numCache>
            </c:numRef>
          </c:val>
        </c:ser>
        <c:axId val="101285248"/>
        <c:axId val="101315712"/>
      </c:barChart>
      <c:catAx>
        <c:axId val="10128524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1315712"/>
        <c:crosses val="autoZero"/>
        <c:auto val="1"/>
        <c:lblAlgn val="ctr"/>
        <c:lblOffset val="100"/>
      </c:catAx>
      <c:valAx>
        <c:axId val="101315712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128524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>
      <c:tx>
        <c:rich>
          <a:bodyPr/>
          <a:lstStyle/>
          <a:p>
            <a:pPr>
              <a:defRPr sz="1400"/>
            </a:pPr>
            <a:r>
              <a:rPr lang="en-GB" sz="1400"/>
              <a:t>Surgical Services KSF status</a:t>
            </a:r>
          </a:p>
          <a:p>
            <a:pPr>
              <a:defRPr sz="1400"/>
            </a:pPr>
            <a:r>
              <a:rPr lang="en-GB" sz="1400"/>
              <a:t> as at 31st March 2017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Sheet1!$B$46</c:f>
              <c:strCache>
                <c:ptCount val="1"/>
                <c:pt idx="0">
                  <c:v>KSF Review % </c:v>
                </c:pt>
              </c:strCache>
            </c:strRef>
          </c:tx>
          <c:dLbls>
            <c:showVal val="1"/>
          </c:dLbls>
          <c:cat>
            <c:strRef>
              <c:f>Sheet1!$A$47:$A$63</c:f>
              <c:strCache>
                <c:ptCount val="17"/>
                <c:pt idx="0">
                  <c:v>Surgical Day Unit</c:v>
                </c:pt>
                <c:pt idx="1">
                  <c:v>2 East - Orthopaedics</c:v>
                </c:pt>
                <c:pt idx="2">
                  <c:v>2 West - Orthopaedics</c:v>
                </c:pt>
                <c:pt idx="3">
                  <c:v>3 East</c:v>
                </c:pt>
                <c:pt idx="4">
                  <c:v>3 West</c:v>
                </c:pt>
                <c:pt idx="5">
                  <c:v>CSPD   </c:v>
                </c:pt>
                <c:pt idx="6">
                  <c:v>Directorate Admin   </c:v>
                </c:pt>
                <c:pt idx="7">
                  <c:v>High Dependency   </c:v>
                </c:pt>
                <c:pt idx="8">
                  <c:v>ICU 1   </c:v>
                </c:pt>
                <c:pt idx="9">
                  <c:v>ICU 2   </c:v>
                </c:pt>
                <c:pt idx="10">
                  <c:v>Physician Assistants</c:v>
                </c:pt>
                <c:pt idx="11">
                  <c:v>Opthamology</c:v>
                </c:pt>
                <c:pt idx="12">
                  <c:v>Nurse Practitioner/Surg Ass   </c:v>
                </c:pt>
                <c:pt idx="13">
                  <c:v>Outpatients   </c:v>
                </c:pt>
                <c:pt idx="14">
                  <c:v>Perfusion  </c:v>
                </c:pt>
                <c:pt idx="15">
                  <c:v>Surgical Care Practitioners  </c:v>
                </c:pt>
                <c:pt idx="16">
                  <c:v>Theatres</c:v>
                </c:pt>
              </c:strCache>
            </c:strRef>
          </c:cat>
          <c:val>
            <c:numRef>
              <c:f>Sheet1!$B$47:$B$63</c:f>
              <c:numCache>
                <c:formatCode>General</c:formatCode>
                <c:ptCount val="17"/>
                <c:pt idx="0">
                  <c:v>100</c:v>
                </c:pt>
                <c:pt idx="1">
                  <c:v>100</c:v>
                </c:pt>
                <c:pt idx="2">
                  <c:v>72</c:v>
                </c:pt>
                <c:pt idx="3">
                  <c:v>86</c:v>
                </c:pt>
                <c:pt idx="4">
                  <c:v>83</c:v>
                </c:pt>
                <c:pt idx="5">
                  <c:v>63</c:v>
                </c:pt>
                <c:pt idx="6">
                  <c:v>83</c:v>
                </c:pt>
                <c:pt idx="7">
                  <c:v>83</c:v>
                </c:pt>
                <c:pt idx="8">
                  <c:v>79</c:v>
                </c:pt>
                <c:pt idx="9">
                  <c:v>85</c:v>
                </c:pt>
                <c:pt idx="10">
                  <c:v>50</c:v>
                </c:pt>
                <c:pt idx="11">
                  <c:v>60</c:v>
                </c:pt>
                <c:pt idx="12">
                  <c:v>76</c:v>
                </c:pt>
                <c:pt idx="13">
                  <c:v>93</c:v>
                </c:pt>
                <c:pt idx="14">
                  <c:v>67</c:v>
                </c:pt>
                <c:pt idx="15">
                  <c:v>100</c:v>
                </c:pt>
                <c:pt idx="16">
                  <c:v>76</c:v>
                </c:pt>
              </c:numCache>
            </c:numRef>
          </c:val>
        </c:ser>
        <c:axId val="100936704"/>
        <c:axId val="100942592"/>
      </c:barChart>
      <c:catAx>
        <c:axId val="100936704"/>
        <c:scaling>
          <c:orientation val="minMax"/>
        </c:scaling>
        <c:axPos val="b"/>
        <c:majorTickMark val="none"/>
        <c:tickLblPos val="nextTo"/>
        <c:crossAx val="100942592"/>
        <c:crosses val="autoZero"/>
        <c:auto val="1"/>
        <c:lblAlgn val="ctr"/>
        <c:lblOffset val="100"/>
      </c:catAx>
      <c:valAx>
        <c:axId val="100942592"/>
        <c:scaling>
          <c:orientation val="minMax"/>
        </c:scaling>
        <c:axPos val="l"/>
        <c:numFmt formatCode="General" sourceLinked="1"/>
        <c:majorTickMark val="none"/>
        <c:tickLblPos val="nextTo"/>
        <c:crossAx val="10093670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302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10</cp:revision>
  <dcterms:created xsi:type="dcterms:W3CDTF">2017-04-10T13:24:00Z</dcterms:created>
  <dcterms:modified xsi:type="dcterms:W3CDTF">2017-05-04T13:24:00Z</dcterms:modified>
</cp:coreProperties>
</file>