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9A0D6" w14:textId="77777777" w:rsidR="00430C09" w:rsidRPr="00140DB3" w:rsidRDefault="00430C09" w:rsidP="00144C64">
      <w:pPr>
        <w:pStyle w:val="NoSpacing"/>
      </w:pPr>
      <w:r w:rsidRPr="00C97BA8">
        <w:rPr>
          <w:b/>
          <w:color w:val="002060"/>
          <w:sz w:val="52"/>
          <w:szCs w:val="52"/>
        </w:rPr>
        <w:t xml:space="preserve">NHS </w:t>
      </w:r>
      <w:r w:rsidR="00DD6252" w:rsidRPr="00C97BA8">
        <w:rPr>
          <w:b/>
          <w:color w:val="002060"/>
          <w:sz w:val="52"/>
          <w:szCs w:val="52"/>
        </w:rPr>
        <w:t>Golden Jubilee</w:t>
      </w:r>
      <w:r w:rsidR="00DD6252" w:rsidRPr="00C97BA8">
        <w:rPr>
          <w:b/>
          <w:color w:val="002060"/>
          <w:sz w:val="52"/>
          <w:szCs w:val="52"/>
        </w:rPr>
        <w:tab/>
      </w:r>
      <w:r w:rsidR="00DD6252" w:rsidRPr="00C97BA8">
        <w:rPr>
          <w:b/>
          <w:sz w:val="52"/>
          <w:szCs w:val="52"/>
        </w:rPr>
        <w:tab/>
      </w:r>
      <w:r w:rsidR="00DD6252">
        <w:tab/>
      </w:r>
      <w:r w:rsidR="00DD6252">
        <w:tab/>
      </w:r>
      <w:r w:rsidR="00DD6252">
        <w:tab/>
      </w:r>
      <w:r w:rsidR="00DD6252" w:rsidRPr="00DD6252">
        <w:rPr>
          <w:noProof/>
          <w:lang w:eastAsia="en-GB"/>
        </w:rPr>
        <w:t xml:space="preserve"> </w:t>
      </w:r>
      <w:r w:rsidR="00DD6252">
        <w:rPr>
          <w:noProof/>
          <w:lang w:eastAsia="en-GB"/>
        </w:rPr>
        <w:drawing>
          <wp:inline distT="0" distB="0" distL="0" distR="0" wp14:anchorId="17FD8476" wp14:editId="73CF57C4">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22FC1104" w14:textId="77777777" w:rsidR="00446219" w:rsidRDefault="00446219" w:rsidP="0003098A">
      <w:pPr>
        <w:pStyle w:val="Heading2"/>
        <w:rPr>
          <w:rStyle w:val="Heading3Char"/>
          <w:b/>
          <w:highlight w:val="lightGray"/>
        </w:rPr>
      </w:pPr>
    </w:p>
    <w:p w14:paraId="3B258B63" w14:textId="681F8DAF"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192782">
        <w:rPr>
          <w:rStyle w:val="Heading3Char"/>
          <w:b/>
        </w:rPr>
        <w:t>NHS Golden Jubilee Board</w:t>
      </w:r>
      <w:r w:rsidR="005D7CDC">
        <w:rPr>
          <w:rStyle w:val="Heading3Char"/>
          <w:b/>
        </w:rPr>
        <w:t xml:space="preserve"> </w:t>
      </w:r>
    </w:p>
    <w:p w14:paraId="2A613300" w14:textId="38389A52"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192782">
        <w:rPr>
          <w:rStyle w:val="Heading3Char"/>
          <w:b/>
        </w:rPr>
        <w:t>17</w:t>
      </w:r>
      <w:r w:rsidR="005D7CDC">
        <w:rPr>
          <w:rStyle w:val="Heading3Char"/>
          <w:b/>
        </w:rPr>
        <w:t xml:space="preserve"> November</w:t>
      </w:r>
      <w:r w:rsidR="00825A70">
        <w:rPr>
          <w:rStyle w:val="Heading3Char"/>
          <w:b/>
        </w:rPr>
        <w:t xml:space="preserve"> </w:t>
      </w:r>
      <w:r w:rsidR="00F37ADD">
        <w:rPr>
          <w:rStyle w:val="Heading3Char"/>
          <w:b/>
        </w:rPr>
        <w:t xml:space="preserve">2025 </w:t>
      </w:r>
    </w:p>
    <w:p w14:paraId="6DEE5F43" w14:textId="56AFFB15"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825A70">
        <w:rPr>
          <w:rStyle w:val="Heading3Char"/>
          <w:b/>
        </w:rPr>
        <w:t xml:space="preserve">Whistleblowing Quarter </w:t>
      </w:r>
      <w:r w:rsidR="004743B7">
        <w:rPr>
          <w:rStyle w:val="Heading3Char"/>
          <w:b/>
        </w:rPr>
        <w:t>2</w:t>
      </w:r>
      <w:r w:rsidR="00825A70">
        <w:rPr>
          <w:rStyle w:val="Heading3Char"/>
          <w:b/>
        </w:rPr>
        <w:t xml:space="preserve"> Report 2025</w:t>
      </w:r>
      <w:r w:rsidR="004743B7">
        <w:rPr>
          <w:rStyle w:val="Heading3Char"/>
          <w:b/>
        </w:rPr>
        <w:t>/</w:t>
      </w:r>
      <w:r w:rsidR="00825A70">
        <w:rPr>
          <w:rStyle w:val="Heading3Char"/>
          <w:b/>
        </w:rPr>
        <w:t>26</w:t>
      </w:r>
    </w:p>
    <w:p w14:paraId="1D1ADA18" w14:textId="0C85BACA" w:rsidR="00144C64" w:rsidRPr="004743B7" w:rsidRDefault="0003098A" w:rsidP="004743B7">
      <w:pPr>
        <w:pStyle w:val="Heading3"/>
        <w:spacing w:line="360" w:lineRule="auto"/>
        <w:ind w:left="4536" w:hanging="4536"/>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37ADD">
        <w:rPr>
          <w:rStyle w:val="Heading3Char"/>
          <w:b/>
        </w:rPr>
        <w:t xml:space="preserve">Anne Marie Cavanagh, </w:t>
      </w:r>
      <w:r w:rsidR="00A10B15">
        <w:rPr>
          <w:rStyle w:val="Heading3Char"/>
          <w:b/>
        </w:rPr>
        <w:t xml:space="preserve">Executive </w:t>
      </w:r>
      <w:r w:rsidR="00F37ADD">
        <w:rPr>
          <w:rStyle w:val="Heading3Char"/>
          <w:b/>
        </w:rPr>
        <w:t>Director of Nursi</w:t>
      </w:r>
      <w:r w:rsidR="00F37ADD" w:rsidRPr="00144C64">
        <w:rPr>
          <w:rStyle w:val="Heading3Char"/>
          <w:b/>
        </w:rPr>
        <w:t>ng</w:t>
      </w:r>
    </w:p>
    <w:p w14:paraId="0B1FA10F" w14:textId="7777777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F37ADD">
        <w:rPr>
          <w:rStyle w:val="Heading3Char"/>
          <w:b/>
        </w:rPr>
        <w:t xml:space="preserve">Nicki Hamer, Head of Corporate Governance and Board Secretary </w:t>
      </w:r>
    </w:p>
    <w:p w14:paraId="5772637C" w14:textId="77777777" w:rsidR="00B77902" w:rsidRPr="00B77902" w:rsidRDefault="00B77902" w:rsidP="00B77902"/>
    <w:p w14:paraId="1C7ABD1C" w14:textId="02ED646B" w:rsidR="009807B4" w:rsidRPr="003C517F" w:rsidRDefault="00BF3AF0" w:rsidP="003C517F">
      <w:pPr>
        <w:pStyle w:val="Heading2"/>
        <w:spacing w:line="276" w:lineRule="auto"/>
      </w:pPr>
      <w:r>
        <w:t>1</w:t>
      </w:r>
      <w:r>
        <w:tab/>
      </w:r>
      <w:r w:rsidR="00430C09" w:rsidRPr="00F05C63">
        <w:t>Purpose</w:t>
      </w:r>
    </w:p>
    <w:p w14:paraId="2BB59192" w14:textId="1B3B8DED" w:rsidR="009828B9" w:rsidRPr="003C517F" w:rsidRDefault="00430C09" w:rsidP="009828B9">
      <w:pPr>
        <w:autoSpaceDE w:val="0"/>
        <w:autoSpaceDN w:val="0"/>
        <w:adjustRightInd w:val="0"/>
        <w:spacing w:before="40" w:after="40" w:line="276" w:lineRule="auto"/>
        <w:ind w:left="720"/>
        <w:rPr>
          <w:rFonts w:cs="Arial"/>
          <w:b/>
          <w:color w:val="000000"/>
          <w:szCs w:val="24"/>
          <w:lang w:eastAsia="en-GB"/>
        </w:rPr>
      </w:pPr>
      <w:r w:rsidRPr="003C517F">
        <w:rPr>
          <w:b/>
          <w:lang w:eastAsia="en-GB"/>
        </w:rPr>
        <w:t>This</w:t>
      </w:r>
      <w:r w:rsidR="003C517F">
        <w:rPr>
          <w:b/>
          <w:lang w:eastAsia="en-GB"/>
        </w:rPr>
        <w:t xml:space="preserve"> is presented to </w:t>
      </w:r>
      <w:r w:rsidR="00192782">
        <w:rPr>
          <w:b/>
          <w:lang w:eastAsia="en-GB"/>
        </w:rPr>
        <w:t>NHS GJ Board</w:t>
      </w:r>
      <w:r w:rsidR="00446219" w:rsidRPr="003C517F">
        <w:rPr>
          <w:b/>
          <w:lang w:eastAsia="en-GB"/>
        </w:rPr>
        <w:t xml:space="preserve"> for:</w:t>
      </w:r>
    </w:p>
    <w:p w14:paraId="6F9E62EE" w14:textId="1898AAAB" w:rsidR="00430C09" w:rsidRPr="00F37ADD" w:rsidRDefault="00192782" w:rsidP="00BF3AF0">
      <w:pPr>
        <w:pStyle w:val="Heading3"/>
        <w:numPr>
          <w:ilvl w:val="0"/>
          <w:numId w:val="9"/>
        </w:numPr>
        <w:spacing w:line="276" w:lineRule="auto"/>
        <w:ind w:left="1080"/>
        <w:rPr>
          <w:b w:val="0"/>
          <w:lang w:eastAsia="en-GB"/>
        </w:rPr>
      </w:pPr>
      <w:r>
        <w:rPr>
          <w:b w:val="0"/>
          <w:lang w:eastAsia="en-GB"/>
        </w:rPr>
        <w:t>Approval</w:t>
      </w:r>
    </w:p>
    <w:p w14:paraId="2A463CF3" w14:textId="77777777" w:rsidR="00430C09" w:rsidRPr="00F37ADD" w:rsidRDefault="00430C09" w:rsidP="00BF3AF0">
      <w:pPr>
        <w:autoSpaceDE w:val="0"/>
        <w:autoSpaceDN w:val="0"/>
        <w:adjustRightInd w:val="0"/>
        <w:spacing w:before="40" w:after="40" w:line="276" w:lineRule="auto"/>
        <w:ind w:left="720"/>
        <w:rPr>
          <w:rFonts w:cs="Arial"/>
          <w:color w:val="000000"/>
          <w:szCs w:val="24"/>
          <w:lang w:eastAsia="en-GB"/>
        </w:rPr>
      </w:pPr>
    </w:p>
    <w:p w14:paraId="639CECC0" w14:textId="77777777" w:rsidR="009807B4" w:rsidRPr="00F37ADD" w:rsidRDefault="00430C09" w:rsidP="00F37ADD">
      <w:pPr>
        <w:pStyle w:val="Heading3"/>
        <w:ind w:left="720"/>
        <w:rPr>
          <w:rFonts w:cs="Arial"/>
          <w:color w:val="000000"/>
        </w:rPr>
      </w:pPr>
      <w:r w:rsidRPr="00F37ADD">
        <w:rPr>
          <w:lang w:eastAsia="en-GB"/>
        </w:rPr>
        <w:t>This report relates to</w:t>
      </w:r>
      <w:r w:rsidR="00AA77F7" w:rsidRPr="00F37ADD">
        <w:rPr>
          <w:lang w:eastAsia="en-GB"/>
        </w:rPr>
        <w:t xml:space="preserve"> a</w:t>
      </w:r>
      <w:r w:rsidRPr="00F37ADD">
        <w:rPr>
          <w:lang w:eastAsia="en-GB"/>
        </w:rPr>
        <w:t>:</w:t>
      </w:r>
      <w:r w:rsidR="009828B9" w:rsidRPr="00F37ADD">
        <w:rPr>
          <w:lang w:eastAsia="en-GB"/>
        </w:rPr>
        <w:t xml:space="preserve"> </w:t>
      </w:r>
    </w:p>
    <w:p w14:paraId="16335D9D" w14:textId="77777777" w:rsidR="009807B4" w:rsidRPr="00F37AD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Government policy/directive</w:t>
      </w:r>
    </w:p>
    <w:p w14:paraId="4B9B1E09"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18DC1C7C" w14:textId="77777777" w:rsidR="00F37ADD" w:rsidRDefault="00430C09" w:rsidP="00F37ADD">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4F3D7306" w14:textId="77777777" w:rsidR="003F7F61" w:rsidRPr="00F37ADD" w:rsidRDefault="003F7F61" w:rsidP="00F37ADD">
      <w:pPr>
        <w:pStyle w:val="Heading3"/>
        <w:numPr>
          <w:ilvl w:val="1"/>
          <w:numId w:val="7"/>
        </w:numPr>
        <w:rPr>
          <w:rFonts w:cs="Arial"/>
          <w:b w:val="0"/>
          <w:color w:val="000000"/>
        </w:rPr>
      </w:pPr>
      <w:r w:rsidRPr="00F37ADD">
        <w:rPr>
          <w:rFonts w:cs="Arial"/>
          <w:b w:val="0"/>
          <w:color w:val="000000"/>
        </w:rPr>
        <w:t>Safe</w:t>
      </w:r>
    </w:p>
    <w:p w14:paraId="03728CF1"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Effective</w:t>
      </w:r>
    </w:p>
    <w:p w14:paraId="5C95B245"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Person Centred</w:t>
      </w:r>
    </w:p>
    <w:p w14:paraId="75E4EE29"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316A5CE2" w14:textId="54C1F9A0" w:rsidR="00E515AF" w:rsidRDefault="00B546C8" w:rsidP="008F753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w:t>
      </w:r>
      <w:r w:rsidR="00F923F7">
        <w:rPr>
          <w:rFonts w:cs="Arial"/>
          <w:b/>
          <w:color w:val="000000"/>
          <w:szCs w:val="24"/>
        </w:rPr>
        <w:t xml:space="preserve"> all of</w:t>
      </w:r>
      <w:r w:rsidRPr="00B546C8">
        <w:rPr>
          <w:rFonts w:cs="Arial"/>
          <w:b/>
          <w:color w:val="000000"/>
          <w:szCs w:val="24"/>
        </w:rPr>
        <w:t xml:space="preserve"> NHSGJ Corporate Objectives</w:t>
      </w:r>
      <w:r w:rsidR="00F923F7">
        <w:rPr>
          <w:rFonts w:cs="Arial"/>
          <w:b/>
          <w:color w:val="000000"/>
          <w:szCs w:val="24"/>
        </w:rPr>
        <w:t>.</w:t>
      </w:r>
      <w:r w:rsidR="009828B9">
        <w:rPr>
          <w:rFonts w:cs="Arial"/>
          <w:b/>
          <w:color w:val="000000"/>
          <w:szCs w:val="24"/>
        </w:rPr>
        <w:t xml:space="preserve"> </w:t>
      </w:r>
    </w:p>
    <w:p w14:paraId="5C77BCDF" w14:textId="77777777" w:rsidR="00430C09" w:rsidRDefault="00430C09" w:rsidP="009807B4">
      <w:pPr>
        <w:spacing w:line="276" w:lineRule="auto"/>
      </w:pPr>
    </w:p>
    <w:p w14:paraId="78958F20" w14:textId="77777777" w:rsidR="00430C09" w:rsidRDefault="00C94BF7" w:rsidP="00430C09">
      <w:pPr>
        <w:pStyle w:val="Heading2"/>
        <w:spacing w:line="276" w:lineRule="auto"/>
      </w:pPr>
      <w:r>
        <w:t>2</w:t>
      </w:r>
      <w:r w:rsidR="00BF3AF0">
        <w:tab/>
      </w:r>
      <w:r w:rsidR="00430C09">
        <w:t>Report summary</w:t>
      </w:r>
      <w:r w:rsidR="00430C09">
        <w:tab/>
      </w:r>
    </w:p>
    <w:p w14:paraId="1CA0AFD8" w14:textId="77777777" w:rsidR="0003098A" w:rsidRDefault="0003098A" w:rsidP="00430C09">
      <w:pPr>
        <w:pStyle w:val="Heading3"/>
        <w:spacing w:line="276" w:lineRule="auto"/>
      </w:pPr>
    </w:p>
    <w:p w14:paraId="5B86B6A0" w14:textId="77777777" w:rsidR="00430C09" w:rsidRDefault="00C94BF7" w:rsidP="00BF3AF0">
      <w:pPr>
        <w:pStyle w:val="Heading2"/>
      </w:pPr>
      <w:r>
        <w:t>2</w:t>
      </w:r>
      <w:r w:rsidR="00BF3AF0">
        <w:t>.1</w:t>
      </w:r>
      <w:r w:rsidR="00BF3AF0">
        <w:tab/>
      </w:r>
      <w:r w:rsidR="00430C09" w:rsidRPr="00DA354A">
        <w:t>Situation</w:t>
      </w:r>
    </w:p>
    <w:p w14:paraId="5A190B10" w14:textId="09AE303C" w:rsidR="00F37ADD" w:rsidRDefault="00F37ADD" w:rsidP="00F37ADD">
      <w:pPr>
        <w:ind w:left="686"/>
        <w:rPr>
          <w:rFonts w:cs="Arial"/>
          <w:szCs w:val="23"/>
        </w:rPr>
      </w:pPr>
      <w:r>
        <w:rPr>
          <w:rFonts w:cs="Arial"/>
          <w:szCs w:val="23"/>
        </w:rPr>
        <w:t xml:space="preserve">The National Whistleblowing Standards were launched on 1 April 2021 and a </w:t>
      </w:r>
      <w:r w:rsidR="00C90A08">
        <w:rPr>
          <w:rFonts w:cs="Arial"/>
          <w:szCs w:val="23"/>
        </w:rPr>
        <w:t xml:space="preserve">significant </w:t>
      </w:r>
      <w:r>
        <w:rPr>
          <w:rFonts w:cs="Arial"/>
          <w:szCs w:val="23"/>
        </w:rPr>
        <w:t>amount of work was and continues to be undertaken to ensure that the standards are implemented across the organisation.</w:t>
      </w:r>
    </w:p>
    <w:p w14:paraId="0DCA5715" w14:textId="77777777" w:rsidR="00F37ADD" w:rsidRDefault="00F37ADD" w:rsidP="00F37ADD">
      <w:pPr>
        <w:ind w:left="686"/>
        <w:rPr>
          <w:rFonts w:cs="Arial"/>
          <w:szCs w:val="23"/>
        </w:rPr>
      </w:pPr>
    </w:p>
    <w:p w14:paraId="267B742E" w14:textId="66ABA6E4" w:rsidR="00F37ADD" w:rsidRDefault="00F37ADD" w:rsidP="00F37ADD">
      <w:pPr>
        <w:ind w:left="686"/>
        <w:rPr>
          <w:rFonts w:cs="Arial"/>
          <w:szCs w:val="23"/>
        </w:rPr>
      </w:pPr>
      <w:r>
        <w:rPr>
          <w:rFonts w:cs="Arial"/>
          <w:szCs w:val="23"/>
        </w:rPr>
        <w:t>This paper</w:t>
      </w:r>
      <w:r w:rsidR="00825A70">
        <w:rPr>
          <w:rFonts w:cs="Arial"/>
          <w:szCs w:val="23"/>
        </w:rPr>
        <w:t xml:space="preserve"> provides the </w:t>
      </w:r>
      <w:r>
        <w:rPr>
          <w:rFonts w:cs="Arial"/>
          <w:szCs w:val="23"/>
        </w:rPr>
        <w:t xml:space="preserve">Whistleblowing </w:t>
      </w:r>
      <w:r w:rsidR="00F715DF">
        <w:rPr>
          <w:rFonts w:cs="Arial"/>
          <w:szCs w:val="23"/>
        </w:rPr>
        <w:t xml:space="preserve">Quarter </w:t>
      </w:r>
      <w:r w:rsidR="004743B7">
        <w:rPr>
          <w:rFonts w:cs="Arial"/>
          <w:szCs w:val="23"/>
        </w:rPr>
        <w:t>2</w:t>
      </w:r>
      <w:r w:rsidR="00F715DF">
        <w:rPr>
          <w:rFonts w:cs="Arial"/>
          <w:szCs w:val="23"/>
        </w:rPr>
        <w:t xml:space="preserve"> Report</w:t>
      </w:r>
      <w:r w:rsidR="00825A70">
        <w:rPr>
          <w:rFonts w:cs="Arial"/>
          <w:szCs w:val="23"/>
        </w:rPr>
        <w:t xml:space="preserve"> for 2025</w:t>
      </w:r>
      <w:r>
        <w:rPr>
          <w:rFonts w:cs="Arial"/>
          <w:szCs w:val="23"/>
        </w:rPr>
        <w:t>/2</w:t>
      </w:r>
      <w:r w:rsidR="00825A70">
        <w:rPr>
          <w:rFonts w:cs="Arial"/>
          <w:szCs w:val="23"/>
        </w:rPr>
        <w:t>6</w:t>
      </w:r>
      <w:r w:rsidR="007253C3">
        <w:rPr>
          <w:rFonts w:cs="Arial"/>
          <w:szCs w:val="23"/>
        </w:rPr>
        <w:t xml:space="preserve"> </w:t>
      </w:r>
      <w:r w:rsidR="00825A70">
        <w:rPr>
          <w:rFonts w:cs="Arial"/>
          <w:szCs w:val="23"/>
        </w:rPr>
        <w:t xml:space="preserve">(1 </w:t>
      </w:r>
      <w:r w:rsidR="004743B7">
        <w:rPr>
          <w:rFonts w:cs="Arial"/>
          <w:szCs w:val="23"/>
        </w:rPr>
        <w:t>July</w:t>
      </w:r>
      <w:r w:rsidR="00825A70">
        <w:rPr>
          <w:rFonts w:cs="Arial"/>
          <w:szCs w:val="23"/>
        </w:rPr>
        <w:t xml:space="preserve"> 2025 to 3</w:t>
      </w:r>
      <w:r w:rsidR="004743B7">
        <w:rPr>
          <w:rFonts w:cs="Arial"/>
          <w:szCs w:val="23"/>
        </w:rPr>
        <w:t>0 September</w:t>
      </w:r>
      <w:r w:rsidR="00825A70">
        <w:rPr>
          <w:rFonts w:cs="Arial"/>
          <w:szCs w:val="23"/>
        </w:rPr>
        <w:t xml:space="preserve"> 2026</w:t>
      </w:r>
      <w:r>
        <w:rPr>
          <w:rFonts w:cs="Arial"/>
          <w:szCs w:val="23"/>
        </w:rPr>
        <w:t>).</w:t>
      </w:r>
    </w:p>
    <w:p w14:paraId="6924E159" w14:textId="77777777" w:rsidR="00F37ADD" w:rsidRDefault="00F37ADD" w:rsidP="00F37ADD">
      <w:pPr>
        <w:pStyle w:val="Heading2"/>
        <w:spacing w:before="0"/>
        <w:ind w:left="686" w:hanging="686"/>
      </w:pPr>
    </w:p>
    <w:p w14:paraId="46E60EF7" w14:textId="77777777" w:rsidR="00F37ADD" w:rsidRDefault="00F37ADD" w:rsidP="00F37ADD">
      <w:pPr>
        <w:pStyle w:val="Heading2"/>
        <w:spacing w:before="0"/>
        <w:ind w:left="686" w:hanging="686"/>
      </w:pPr>
      <w:r>
        <w:t>2.2</w:t>
      </w:r>
      <w:r>
        <w:tab/>
        <w:t>Background</w:t>
      </w:r>
    </w:p>
    <w:p w14:paraId="02D8E856" w14:textId="77777777" w:rsidR="00F37ADD" w:rsidRDefault="00F37ADD" w:rsidP="00F37ADD">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Pr="00DC65A9">
        <w:t xml:space="preserve"> </w:t>
      </w:r>
      <w:r>
        <w:t xml:space="preserve">The Standards also require that Boards publish an annual report setting out performance in handling whistleblowing concerns. The annual report will </w:t>
      </w:r>
      <w:r>
        <w:lastRenderedPageBreak/>
        <w:t xml:space="preserve">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5655CD1C" w14:textId="77777777" w:rsidR="00F37ADD" w:rsidRDefault="00F37ADD" w:rsidP="00F37ADD">
      <w:pPr>
        <w:autoSpaceDE w:val="0"/>
        <w:autoSpaceDN w:val="0"/>
        <w:adjustRightInd w:val="0"/>
        <w:ind w:left="709"/>
      </w:pPr>
    </w:p>
    <w:p w14:paraId="34AA88E9" w14:textId="77777777" w:rsidR="00F37ADD" w:rsidRDefault="00F37ADD" w:rsidP="00F37ADD">
      <w:pPr>
        <w:autoSpaceDE w:val="0"/>
        <w:autoSpaceDN w:val="0"/>
        <w:adjustRightInd w:val="0"/>
        <w:ind w:left="709"/>
      </w:pPr>
      <w:r>
        <w:t xml:space="preserve">NHS Golden Jubilee’s approach to the implementation of the standards was key to ensuring that staff feel safe, supported and have confidence in the fairness of the processes should they feel they need to raise concerns.  </w:t>
      </w:r>
    </w:p>
    <w:p w14:paraId="0D53260B" w14:textId="77777777" w:rsidR="00F37ADD" w:rsidRDefault="00F37ADD" w:rsidP="00F37ADD">
      <w:pPr>
        <w:autoSpaceDE w:val="0"/>
        <w:autoSpaceDN w:val="0"/>
        <w:adjustRightInd w:val="0"/>
        <w:ind w:left="709"/>
      </w:pPr>
    </w:p>
    <w:p w14:paraId="49E72DD7" w14:textId="77777777" w:rsidR="00F37ADD" w:rsidRDefault="00F37ADD" w:rsidP="00F37ADD">
      <w:pPr>
        <w:autoSpaceDE w:val="0"/>
        <w:autoSpaceDN w:val="0"/>
        <w:adjustRightInd w:val="0"/>
        <w:ind w:left="709"/>
      </w:pPr>
      <w:r>
        <w:t>In NHS Golden Jubilee the agreed governance route for reporting on whistleblowing is to Clinical Governance Committee with any staff concerns being shared with Staff Governance and Person Centred Committee and then onward to the Board.</w:t>
      </w:r>
    </w:p>
    <w:p w14:paraId="44D673A3" w14:textId="77777777" w:rsidR="00F37ADD" w:rsidRDefault="00F37ADD" w:rsidP="00F37ADD">
      <w:pPr>
        <w:autoSpaceDE w:val="0"/>
        <w:autoSpaceDN w:val="0"/>
        <w:adjustRightInd w:val="0"/>
        <w:ind w:left="709"/>
      </w:pPr>
    </w:p>
    <w:p w14:paraId="721F0895" w14:textId="7D2E8542" w:rsidR="00F37ADD" w:rsidRDefault="00F37ADD" w:rsidP="00F37ADD">
      <w:pPr>
        <w:autoSpaceDE w:val="0"/>
        <w:autoSpaceDN w:val="0"/>
        <w:adjustRightInd w:val="0"/>
        <w:ind w:left="709"/>
      </w:pPr>
      <w:r>
        <w:t>This report provides information in accordance with the requirements of the Standards including information on our performance for 202</w:t>
      </w:r>
      <w:r w:rsidR="00825A70">
        <w:t>5</w:t>
      </w:r>
      <w:r>
        <w:t>/2</w:t>
      </w:r>
      <w:r w:rsidR="00825A70">
        <w:t>6</w:t>
      </w:r>
      <w:r>
        <w:t>.</w:t>
      </w:r>
    </w:p>
    <w:p w14:paraId="2B992A33" w14:textId="77777777" w:rsidR="00F37ADD" w:rsidRDefault="00F37ADD" w:rsidP="00F37ADD">
      <w:pPr>
        <w:spacing w:before="40" w:after="40" w:line="276" w:lineRule="auto"/>
        <w:rPr>
          <w:rFonts w:cs="Arial"/>
          <w:color w:val="000000"/>
          <w:szCs w:val="24"/>
        </w:rPr>
      </w:pPr>
      <w:r>
        <w:rPr>
          <w:rFonts w:cs="Arial"/>
          <w:color w:val="000000"/>
          <w:szCs w:val="24"/>
        </w:rPr>
        <w:tab/>
      </w:r>
    </w:p>
    <w:p w14:paraId="2DF4B9ED" w14:textId="77777777" w:rsidR="00F3337D" w:rsidRDefault="00C87B62" w:rsidP="00BF3AF0">
      <w:pPr>
        <w:pStyle w:val="Heading2"/>
      </w:pPr>
      <w:r>
        <w:t>2</w:t>
      </w:r>
      <w:r w:rsidR="00BF3AF0">
        <w:t>.3</w:t>
      </w:r>
      <w:r w:rsidR="00BF3AF0">
        <w:tab/>
      </w:r>
      <w:r w:rsidR="00F3337D">
        <w:t>Assessment</w:t>
      </w:r>
    </w:p>
    <w:p w14:paraId="208D72F2" w14:textId="2B5EDFA8" w:rsidR="00F37ADD" w:rsidRDefault="00F37ADD" w:rsidP="00F37ADD">
      <w:pPr>
        <w:ind w:left="720"/>
      </w:pPr>
      <w:r>
        <w:t>Appendix 1 is the Whistleblowing</w:t>
      </w:r>
      <w:r w:rsidR="00F715DF" w:rsidRPr="00F715DF">
        <w:t xml:space="preserve"> </w:t>
      </w:r>
      <w:r w:rsidR="00F715DF">
        <w:t xml:space="preserve">Quarter </w:t>
      </w:r>
      <w:r w:rsidR="004743B7">
        <w:t>2</w:t>
      </w:r>
      <w:r w:rsidR="00F715DF">
        <w:t xml:space="preserve"> </w:t>
      </w:r>
      <w:r>
        <w:t>Report</w:t>
      </w:r>
      <w:r w:rsidR="00825A70">
        <w:t xml:space="preserve"> for 2025/26</w:t>
      </w:r>
      <w:r>
        <w:t xml:space="preserve">.  This report demonstrates our performance </w:t>
      </w:r>
      <w:r w:rsidR="00F715DF">
        <w:t>for</w:t>
      </w:r>
      <w:r>
        <w:t xml:space="preserve"> the national key indicators as required by the </w:t>
      </w:r>
      <w:r w:rsidR="007253C3">
        <w:t>Independent National Whistleblowing Office (</w:t>
      </w:r>
      <w:r>
        <w:t>INWO</w:t>
      </w:r>
      <w:r w:rsidR="007253C3">
        <w:t>)</w:t>
      </w:r>
      <w:r>
        <w:t>.</w:t>
      </w:r>
      <w:r w:rsidR="007253C3">
        <w:t xml:space="preserve"> </w:t>
      </w:r>
      <w:r>
        <w:t xml:space="preserve"> Over time, this approach will illustrate trends and more importantly, allow us to evidence necessary improvement and learning in response to the trends and themes demonstrated. The report at Appendix 1 provides performance information on:</w:t>
      </w:r>
    </w:p>
    <w:p w14:paraId="6D7F6A14" w14:textId="77777777" w:rsidR="00F37ADD" w:rsidRDefault="00F37ADD" w:rsidP="00F37ADD">
      <w:pPr>
        <w:ind w:left="720"/>
      </w:pPr>
    </w:p>
    <w:p w14:paraId="71C659D0" w14:textId="16391F3B" w:rsidR="00F37ADD" w:rsidRDefault="00CB0E9A" w:rsidP="00223E28">
      <w:pPr>
        <w:pStyle w:val="ListParagraph"/>
        <w:numPr>
          <w:ilvl w:val="1"/>
          <w:numId w:val="23"/>
        </w:numPr>
        <w:rPr>
          <w:rFonts w:ascii="Arial" w:hAnsi="Arial" w:cs="Arial"/>
          <w:sz w:val="24"/>
          <w:szCs w:val="24"/>
        </w:rPr>
      </w:pPr>
      <w:r>
        <w:rPr>
          <w:rFonts w:ascii="Arial" w:hAnsi="Arial" w:cs="Arial"/>
          <w:sz w:val="24"/>
          <w:szCs w:val="24"/>
        </w:rPr>
        <w:t xml:space="preserve">Quarter </w:t>
      </w:r>
      <w:r w:rsidR="004743B7">
        <w:rPr>
          <w:rFonts w:ascii="Arial" w:hAnsi="Arial" w:cs="Arial"/>
          <w:sz w:val="24"/>
          <w:szCs w:val="24"/>
        </w:rPr>
        <w:t>2</w:t>
      </w:r>
      <w:r>
        <w:rPr>
          <w:rFonts w:ascii="Arial" w:hAnsi="Arial" w:cs="Arial"/>
          <w:sz w:val="24"/>
          <w:szCs w:val="24"/>
        </w:rPr>
        <w:t xml:space="preserve"> Performance</w:t>
      </w:r>
    </w:p>
    <w:p w14:paraId="5B20A0F7" w14:textId="4F54CE75"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Key Performance Indicators</w:t>
      </w:r>
    </w:p>
    <w:p w14:paraId="118EC04C" w14:textId="559AB2FE"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Learning, changes or improvements to services</w:t>
      </w:r>
    </w:p>
    <w:p w14:paraId="4514EF3E" w14:textId="5DC22525"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Level of staff perception, awareness and training</w:t>
      </w:r>
    </w:p>
    <w:p w14:paraId="3930FD94" w14:textId="51CA84F0"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Speak Up Week 2025</w:t>
      </w:r>
    </w:p>
    <w:p w14:paraId="4DE7041D" w14:textId="5176BFBF" w:rsidR="00E515AF" w:rsidRDefault="00CB0E9A" w:rsidP="00223E28">
      <w:pPr>
        <w:pStyle w:val="ListParagraph"/>
        <w:numPr>
          <w:ilvl w:val="1"/>
          <w:numId w:val="23"/>
        </w:numPr>
        <w:rPr>
          <w:rFonts w:ascii="Arial" w:hAnsi="Arial" w:cs="Arial"/>
          <w:sz w:val="24"/>
          <w:szCs w:val="24"/>
        </w:rPr>
      </w:pPr>
      <w:r>
        <w:rPr>
          <w:rFonts w:ascii="Arial" w:hAnsi="Arial" w:cs="Arial"/>
          <w:sz w:val="24"/>
          <w:szCs w:val="24"/>
        </w:rPr>
        <w:t>Whistleblowing Oversight Group</w:t>
      </w:r>
    </w:p>
    <w:p w14:paraId="458ED565" w14:textId="4ADED1D4" w:rsidR="00CB0E9A" w:rsidRPr="00223E28" w:rsidRDefault="00CB0E9A" w:rsidP="00223E28">
      <w:pPr>
        <w:pStyle w:val="ListParagraph"/>
        <w:numPr>
          <w:ilvl w:val="1"/>
          <w:numId w:val="23"/>
        </w:numPr>
        <w:rPr>
          <w:rFonts w:ascii="Arial" w:hAnsi="Arial" w:cs="Arial"/>
          <w:sz w:val="24"/>
          <w:szCs w:val="24"/>
        </w:rPr>
      </w:pPr>
      <w:r>
        <w:rPr>
          <w:rFonts w:ascii="Arial" w:hAnsi="Arial" w:cs="Arial"/>
          <w:sz w:val="24"/>
          <w:szCs w:val="24"/>
        </w:rPr>
        <w:t>Reporting</w:t>
      </w:r>
    </w:p>
    <w:p w14:paraId="3295A0AE" w14:textId="77777777" w:rsidR="00F37ADD" w:rsidRPr="00872DF3" w:rsidRDefault="00F37ADD" w:rsidP="00F37ADD">
      <w:pPr>
        <w:ind w:left="720"/>
      </w:pPr>
    </w:p>
    <w:p w14:paraId="31420C60" w14:textId="77777777" w:rsidR="00F37ADD" w:rsidRDefault="00F37ADD" w:rsidP="00F37ADD">
      <w:pPr>
        <w:ind w:left="720"/>
        <w:rPr>
          <w:rFonts w:cs="Arial"/>
          <w:color w:val="000000"/>
          <w:szCs w:val="24"/>
        </w:rPr>
      </w:pPr>
      <w:r>
        <w:rPr>
          <w:rFonts w:cs="Arial"/>
          <w:color w:val="000000"/>
          <w:szCs w:val="24"/>
        </w:rPr>
        <w:t>Monthly reports are produced to monitor completion of the Turas Whistleblowing eLearning modules.  Whistleblowing communications continue to be refreshed as a reminder to staff on how to raise a Whistleblowing concern.</w:t>
      </w:r>
    </w:p>
    <w:p w14:paraId="4DE19E8F" w14:textId="77777777" w:rsidR="00F37ADD" w:rsidRDefault="00F37ADD" w:rsidP="00F37ADD">
      <w:pPr>
        <w:ind w:left="720"/>
        <w:rPr>
          <w:rFonts w:cs="Arial"/>
          <w:color w:val="000000"/>
          <w:szCs w:val="24"/>
        </w:rPr>
      </w:pPr>
    </w:p>
    <w:p w14:paraId="638CAC10" w14:textId="77777777" w:rsidR="00F37ADD" w:rsidRDefault="00F37ADD" w:rsidP="00F37ADD">
      <w:pPr>
        <w:ind w:left="720"/>
        <w:rPr>
          <w:rFonts w:cs="Arial"/>
          <w:color w:val="000000"/>
          <w:szCs w:val="24"/>
        </w:rPr>
      </w:pPr>
      <w:r>
        <w:rPr>
          <w:rFonts w:cs="Arial"/>
          <w:color w:val="000000"/>
          <w:szCs w:val="24"/>
        </w:rPr>
        <w:t>The Non-Executive Whistleblowing Champion meets with the Confidential Contacts to ensure any whistleblowing concerns are signposted as a support to staff.</w:t>
      </w:r>
    </w:p>
    <w:p w14:paraId="26B1D308" w14:textId="77777777" w:rsidR="00F37ADD" w:rsidRPr="00BF3AF0" w:rsidRDefault="00F37ADD" w:rsidP="00BF3AF0">
      <w:pPr>
        <w:spacing w:before="40" w:after="40" w:line="276" w:lineRule="auto"/>
        <w:rPr>
          <w:rFonts w:cs="Arial"/>
          <w:color w:val="000000"/>
          <w:szCs w:val="24"/>
        </w:rPr>
      </w:pPr>
    </w:p>
    <w:p w14:paraId="0EF99EFE" w14:textId="77777777" w:rsidR="00F3337D" w:rsidRDefault="00C87B62" w:rsidP="00F3337D">
      <w:pPr>
        <w:pStyle w:val="Heading3"/>
        <w:spacing w:line="276" w:lineRule="auto"/>
      </w:pPr>
      <w:r w:rsidRPr="001A40AD">
        <w:t>2</w:t>
      </w:r>
      <w:r w:rsidR="00BF3AF0" w:rsidRPr="001A40AD">
        <w:t>.3.1</w:t>
      </w:r>
      <w:r w:rsidR="00BF3AF0" w:rsidRPr="001A40AD">
        <w:tab/>
      </w:r>
      <w:r w:rsidR="00F3337D" w:rsidRPr="001A40AD">
        <w:t>Quality/ Patient Care</w:t>
      </w:r>
    </w:p>
    <w:p w14:paraId="19553BE2" w14:textId="6C15552A" w:rsidR="00F3337D" w:rsidRDefault="00874282" w:rsidP="00874282">
      <w:pPr>
        <w:spacing w:before="40" w:after="40" w:line="276" w:lineRule="auto"/>
        <w:ind w:left="720"/>
        <w:rPr>
          <w:rFonts w:cs="Arial"/>
          <w:color w:val="000000"/>
          <w:szCs w:val="24"/>
        </w:rPr>
      </w:pPr>
      <w:r w:rsidRPr="00874282">
        <w:rPr>
          <w:rFonts w:cs="Arial"/>
          <w:color w:val="000000"/>
          <w:szCs w:val="24"/>
        </w:rPr>
        <w:t xml:space="preserve">The National Whistleblowing Standards </w:t>
      </w:r>
      <w:r>
        <w:rPr>
          <w:rFonts w:cs="Arial"/>
          <w:color w:val="000000"/>
          <w:szCs w:val="24"/>
        </w:rPr>
        <w:t>support a safe environment which</w:t>
      </w:r>
      <w:r w:rsidR="001A40AD">
        <w:rPr>
          <w:rFonts w:cs="Arial"/>
          <w:color w:val="000000"/>
          <w:szCs w:val="24"/>
        </w:rPr>
        <w:t xml:space="preserve"> </w:t>
      </w:r>
      <w:r w:rsidR="00F923F7">
        <w:rPr>
          <w:rFonts w:cs="Arial"/>
          <w:color w:val="000000"/>
          <w:szCs w:val="24"/>
        </w:rPr>
        <w:t xml:space="preserve">supports and provides assurance </w:t>
      </w:r>
      <w:r w:rsidRPr="00874282">
        <w:rPr>
          <w:rFonts w:cs="Arial"/>
          <w:color w:val="000000"/>
          <w:szCs w:val="24"/>
        </w:rPr>
        <w:t>on t</w:t>
      </w:r>
      <w:r>
        <w:rPr>
          <w:rFonts w:cs="Arial"/>
          <w:color w:val="000000"/>
          <w:szCs w:val="24"/>
        </w:rPr>
        <w:t>he quality of care and services.</w:t>
      </w:r>
    </w:p>
    <w:p w14:paraId="75E71D1F" w14:textId="77777777" w:rsidR="00874282" w:rsidRPr="00F3337D" w:rsidRDefault="00874282" w:rsidP="00874282">
      <w:pPr>
        <w:spacing w:before="40" w:after="40" w:line="276" w:lineRule="auto"/>
        <w:ind w:left="720"/>
        <w:rPr>
          <w:rFonts w:cs="Arial"/>
          <w:color w:val="000000"/>
          <w:szCs w:val="24"/>
        </w:rPr>
      </w:pPr>
    </w:p>
    <w:p w14:paraId="3E552E2A" w14:textId="77777777" w:rsidR="00AA77F7" w:rsidRDefault="00C87B62" w:rsidP="00AA77F7">
      <w:pPr>
        <w:pStyle w:val="Heading3"/>
        <w:spacing w:line="276" w:lineRule="auto"/>
      </w:pPr>
      <w:r>
        <w:t>2</w:t>
      </w:r>
      <w:r w:rsidR="00BF3AF0">
        <w:t>.3.2</w:t>
      </w:r>
      <w:r w:rsidR="00BF3AF0">
        <w:tab/>
      </w:r>
      <w:r w:rsidR="00AA77F7">
        <w:t>Workforce</w:t>
      </w:r>
    </w:p>
    <w:p w14:paraId="64D8DD7E" w14:textId="77777777" w:rsidR="00F37ADD" w:rsidRDefault="00F37ADD" w:rsidP="00F37ADD">
      <w:pPr>
        <w:ind w:left="720"/>
        <w:rPr>
          <w:rFonts w:cs="Arial"/>
          <w:color w:val="000000"/>
          <w:szCs w:val="24"/>
        </w:rPr>
      </w:pPr>
      <w:r>
        <w:rPr>
          <w:rFonts w:cs="Arial"/>
          <w:color w:val="000000"/>
          <w:szCs w:val="24"/>
        </w:rPr>
        <w:t xml:space="preserve">The National Whistleblowing Standards support NHS GJ’s ambition for an open and transparent organisational culture where staff have the confidence to speak up. </w:t>
      </w:r>
    </w:p>
    <w:p w14:paraId="6EB61B9D" w14:textId="77777777" w:rsidR="00F3337D" w:rsidRPr="00AA77F7" w:rsidRDefault="00F3337D" w:rsidP="00AA77F7">
      <w:pPr>
        <w:rPr>
          <w:rFonts w:cs="Arial"/>
          <w:color w:val="000000"/>
          <w:szCs w:val="24"/>
        </w:rPr>
      </w:pPr>
    </w:p>
    <w:p w14:paraId="5B4E4501" w14:textId="77777777" w:rsidR="00F3337D" w:rsidRDefault="00C87B62" w:rsidP="00F3337D">
      <w:pPr>
        <w:pStyle w:val="Heading3"/>
        <w:spacing w:line="276" w:lineRule="auto"/>
      </w:pPr>
      <w:r>
        <w:t>2</w:t>
      </w:r>
      <w:r w:rsidR="00BF3AF0">
        <w:t>.3.3</w:t>
      </w:r>
      <w:r w:rsidR="00BF3AF0">
        <w:tab/>
      </w:r>
      <w:r w:rsidR="00F3337D">
        <w:t>Financial</w:t>
      </w:r>
    </w:p>
    <w:p w14:paraId="64BA11A6" w14:textId="77777777" w:rsidR="00F37ADD" w:rsidRPr="00611AA4" w:rsidRDefault="00F37ADD" w:rsidP="00BF3AF0">
      <w:pPr>
        <w:spacing w:before="40" w:after="40" w:line="276" w:lineRule="auto"/>
        <w:ind w:left="720"/>
        <w:rPr>
          <w:rFonts w:cs="Arial"/>
          <w:color w:val="000000"/>
          <w:szCs w:val="24"/>
        </w:rPr>
      </w:pPr>
      <w:r>
        <w:rPr>
          <w:rFonts w:cs="Arial"/>
          <w:color w:val="000000"/>
          <w:szCs w:val="24"/>
        </w:rPr>
        <w:t>There is no financial impact.</w:t>
      </w:r>
    </w:p>
    <w:p w14:paraId="514408C9"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A11EE0C" w14:textId="77777777" w:rsidR="00F3337D" w:rsidRDefault="00C87B62" w:rsidP="00F3337D">
      <w:pPr>
        <w:pStyle w:val="Heading3"/>
        <w:spacing w:line="276" w:lineRule="auto"/>
      </w:pPr>
      <w:r>
        <w:lastRenderedPageBreak/>
        <w:t>2</w:t>
      </w:r>
      <w:r w:rsidR="00BF3AF0">
        <w:t>.3.4</w:t>
      </w:r>
      <w:r w:rsidR="00BF3AF0">
        <w:tab/>
      </w:r>
      <w:r w:rsidR="00F3337D">
        <w:t>Risk Assessment</w:t>
      </w:r>
      <w:r w:rsidR="00BF3AF0">
        <w:t>/</w:t>
      </w:r>
      <w:r w:rsidR="00F3337D">
        <w:t>Management</w:t>
      </w:r>
    </w:p>
    <w:p w14:paraId="5CE612D5" w14:textId="77777777" w:rsidR="00F37ADD" w:rsidRPr="00940C81" w:rsidRDefault="00F37ADD" w:rsidP="00F37ADD">
      <w:pPr>
        <w:ind w:left="709"/>
        <w:rPr>
          <w:rFonts w:cs="Arial"/>
          <w:color w:val="000000"/>
          <w:szCs w:val="24"/>
        </w:rPr>
      </w:pPr>
      <w:r>
        <w:t>If staff do not have confidence in the fairness of the procedures through which their concerns are raised, or do not feel assured that concerns raised will be acted upon, there is a risk that they will not raise valid concerns about quality, safety or malpractice.  The opportunity to investigate and address these concerns will have been lost, with potentially adverse impact on quality, safety and effectiveness of services.</w:t>
      </w:r>
    </w:p>
    <w:p w14:paraId="016D525E" w14:textId="77777777" w:rsidR="00F3337D" w:rsidRPr="00BF3AF0" w:rsidRDefault="00F3337D" w:rsidP="00BF3AF0">
      <w:pPr>
        <w:spacing w:before="40" w:after="40" w:line="276" w:lineRule="auto"/>
        <w:rPr>
          <w:rFonts w:cs="Arial"/>
          <w:color w:val="000000"/>
          <w:szCs w:val="24"/>
        </w:rPr>
      </w:pPr>
    </w:p>
    <w:p w14:paraId="59FDA39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72797740" w14:textId="77777777" w:rsidR="0039774F" w:rsidRPr="00940C81" w:rsidRDefault="0039774F" w:rsidP="0039774F">
      <w:pPr>
        <w:ind w:left="720"/>
      </w:pPr>
      <w:r>
        <w:t xml:space="preserve">There are no specific issues arising from this paper.  </w:t>
      </w:r>
    </w:p>
    <w:p w14:paraId="38E0BBAD" w14:textId="77777777" w:rsidR="00BF3AF0" w:rsidRPr="001A40AD" w:rsidRDefault="00BF3AF0" w:rsidP="00BF3AF0">
      <w:pPr>
        <w:spacing w:before="40" w:after="40" w:line="276" w:lineRule="auto"/>
        <w:ind w:left="720"/>
        <w:rPr>
          <w:rFonts w:cs="Arial"/>
          <w:color w:val="000000"/>
          <w:szCs w:val="24"/>
        </w:rPr>
      </w:pPr>
    </w:p>
    <w:p w14:paraId="208CA534" w14:textId="77777777" w:rsidR="006C5C9F" w:rsidRPr="00D17B29" w:rsidRDefault="00C87B62" w:rsidP="00D17B29">
      <w:pPr>
        <w:pStyle w:val="Heading3"/>
      </w:pPr>
      <w:r w:rsidRPr="001A40AD">
        <w:t>2</w:t>
      </w:r>
      <w:r w:rsidR="00D17B29" w:rsidRPr="001A40AD">
        <w:t>.3.6</w:t>
      </w:r>
      <w:r w:rsidR="00D17B29" w:rsidRPr="001A40AD">
        <w:tab/>
      </w:r>
      <w:r w:rsidR="006C5C9F" w:rsidRPr="001A40AD">
        <w:rPr>
          <w:rFonts w:eastAsiaTheme="minorHAnsi" w:cs="Arial"/>
          <w:bCs/>
          <w:color w:val="000000"/>
          <w:spacing w:val="0"/>
          <w:szCs w:val="23"/>
        </w:rPr>
        <w:t>Climate Emergency and Sustainability</w:t>
      </w:r>
      <w:r w:rsidR="006C5C9F" w:rsidRPr="00C31C8F">
        <w:rPr>
          <w:rFonts w:eastAsiaTheme="minorHAnsi" w:cs="Arial"/>
          <w:bCs/>
          <w:color w:val="000000"/>
          <w:spacing w:val="0"/>
          <w:szCs w:val="23"/>
        </w:rPr>
        <w:t xml:space="preserve"> </w:t>
      </w:r>
    </w:p>
    <w:p w14:paraId="11595B6F" w14:textId="283CE621" w:rsidR="00F923F7" w:rsidRDefault="00F923F7" w:rsidP="00F923F7">
      <w:pPr>
        <w:pStyle w:val="ListParagraph"/>
        <w:rPr>
          <w:rFonts w:ascii="Arial" w:hAnsi="Arial" w:cs="Arial"/>
          <w:color w:val="000000"/>
          <w:sz w:val="24"/>
          <w:szCs w:val="24"/>
        </w:rPr>
      </w:pPr>
      <w:r>
        <w:rPr>
          <w:rFonts w:ascii="Arial" w:hAnsi="Arial" w:cs="Arial"/>
          <w:color w:val="000000"/>
          <w:sz w:val="24"/>
          <w:szCs w:val="24"/>
        </w:rPr>
        <w:t xml:space="preserve">Whistleblowing supports effective governance of all strategic priorities remitted to its Governance </w:t>
      </w:r>
      <w:r w:rsidR="001A40AD">
        <w:rPr>
          <w:rFonts w:ascii="Arial" w:hAnsi="Arial" w:cs="Arial"/>
          <w:color w:val="000000"/>
          <w:sz w:val="24"/>
          <w:szCs w:val="24"/>
        </w:rPr>
        <w:t>C</w:t>
      </w:r>
      <w:r>
        <w:rPr>
          <w:rFonts w:ascii="Arial" w:hAnsi="Arial" w:cs="Arial"/>
          <w:color w:val="000000"/>
          <w:sz w:val="24"/>
          <w:szCs w:val="24"/>
        </w:rPr>
        <w:t>ommittees, including Climate Change and Sustainability.</w:t>
      </w:r>
    </w:p>
    <w:p w14:paraId="2C155E36" w14:textId="77777777" w:rsidR="00F923F7" w:rsidRDefault="00F923F7" w:rsidP="00D17B29">
      <w:pPr>
        <w:spacing w:before="40" w:after="40" w:line="276" w:lineRule="auto"/>
        <w:ind w:left="709"/>
        <w:rPr>
          <w:rFonts w:cs="Arial"/>
          <w:color w:val="000000"/>
          <w:szCs w:val="24"/>
        </w:rPr>
      </w:pPr>
    </w:p>
    <w:p w14:paraId="0DF1D3AD" w14:textId="77777777" w:rsidR="0039774F" w:rsidRDefault="0039774F" w:rsidP="00C87B62">
      <w:pPr>
        <w:pStyle w:val="Heading3"/>
        <w:numPr>
          <w:ilvl w:val="2"/>
          <w:numId w:val="16"/>
        </w:numPr>
        <w:rPr>
          <w:rFonts w:eastAsia="Times New Roman"/>
        </w:rPr>
      </w:pPr>
      <w:r>
        <w:rPr>
          <w:rFonts w:eastAsia="Times New Roman"/>
        </w:rPr>
        <w:t>Other Impacts</w:t>
      </w:r>
    </w:p>
    <w:p w14:paraId="11525244" w14:textId="77777777" w:rsidR="0039774F" w:rsidRPr="0039774F" w:rsidRDefault="00F74627" w:rsidP="0039774F">
      <w:pPr>
        <w:ind w:left="720"/>
        <w:rPr>
          <w:rFonts w:cs="Arial"/>
        </w:rPr>
      </w:pPr>
      <w:r>
        <w:rPr>
          <w:rFonts w:cs="Arial"/>
        </w:rPr>
        <w:t xml:space="preserve">Best value: Governance, </w:t>
      </w:r>
      <w:r w:rsidR="0039774F" w:rsidRPr="0039774F">
        <w:rPr>
          <w:rFonts w:cs="Arial"/>
        </w:rPr>
        <w:t xml:space="preserve">accountability and </w:t>
      </w:r>
      <w:r>
        <w:rPr>
          <w:rFonts w:cs="Arial"/>
        </w:rPr>
        <w:t>p</w:t>
      </w:r>
      <w:r w:rsidR="0039774F" w:rsidRPr="0039774F">
        <w:rPr>
          <w:rFonts w:cs="Arial"/>
        </w:rPr>
        <w:t xml:space="preserve">erformance management. </w:t>
      </w:r>
    </w:p>
    <w:p w14:paraId="1E2AB9F2" w14:textId="708A9A4E" w:rsidR="0039774F" w:rsidRPr="0039774F" w:rsidRDefault="0039774F" w:rsidP="0039774F">
      <w:pPr>
        <w:ind w:left="720"/>
        <w:rPr>
          <w:rFonts w:cs="Arial"/>
        </w:rPr>
      </w:pPr>
      <w:r w:rsidRPr="0039774F">
        <w:rPr>
          <w:rFonts w:cs="Arial"/>
        </w:rPr>
        <w:t xml:space="preserve">The delivery of an effective process for whistleblowing concerns will support the Board’s commitment to safe, effective and person-centred care. </w:t>
      </w:r>
      <w:r w:rsidR="002F3347">
        <w:rPr>
          <w:rFonts w:cs="Arial"/>
        </w:rPr>
        <w:t xml:space="preserve"> </w:t>
      </w:r>
      <w:r w:rsidRPr="0039774F">
        <w:rPr>
          <w:rFonts w:cs="Arial"/>
        </w:rPr>
        <w:t>Effective handling of concerns supports the delivery of the Healthcare Quality Strategy</w:t>
      </w:r>
    </w:p>
    <w:p w14:paraId="682C3814" w14:textId="77777777" w:rsidR="0039774F" w:rsidRPr="0039774F" w:rsidRDefault="0039774F" w:rsidP="0039774F">
      <w:pPr>
        <w:ind w:left="720"/>
        <w:rPr>
          <w:rFonts w:cs="Arial"/>
        </w:rPr>
      </w:pPr>
    </w:p>
    <w:p w14:paraId="037035D4" w14:textId="77777777" w:rsidR="0039774F" w:rsidRPr="0039774F" w:rsidRDefault="0039774F" w:rsidP="0039774F">
      <w:pPr>
        <w:ind w:left="720"/>
        <w:rPr>
          <w:rFonts w:cs="Arial"/>
        </w:rPr>
      </w:pPr>
      <w:r w:rsidRPr="0039774F">
        <w:rPr>
          <w:rFonts w:cs="Arial"/>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02CDC256" w14:textId="77777777" w:rsidR="0039774F" w:rsidRDefault="0039774F" w:rsidP="0039774F">
      <w:pPr>
        <w:pStyle w:val="Heading3"/>
        <w:ind w:left="720"/>
        <w:rPr>
          <w:rFonts w:eastAsia="Times New Roman"/>
        </w:rPr>
      </w:pPr>
    </w:p>
    <w:p w14:paraId="2AA51930"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1AC405E8" w14:textId="60AF8DFA" w:rsidR="0039774F" w:rsidRDefault="0039774F" w:rsidP="0039774F">
      <w:pPr>
        <w:ind w:left="720"/>
      </w:pPr>
      <w:r>
        <w:t xml:space="preserve">There is no requirement for formal engagement with external stakeholders in relation to the formulation of this paper. </w:t>
      </w:r>
      <w:r w:rsidR="00F923F7">
        <w:t>This paper has been approved by the Whistleblowing Oversight Group.</w:t>
      </w:r>
      <w:r w:rsidR="002F3347">
        <w:t xml:space="preserve"> </w:t>
      </w:r>
    </w:p>
    <w:p w14:paraId="6D2359FD"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00402E68" w14:textId="77777777" w:rsidR="00446219" w:rsidRDefault="00446219" w:rsidP="00C87B62">
      <w:pPr>
        <w:pStyle w:val="Heading3"/>
        <w:numPr>
          <w:ilvl w:val="2"/>
          <w:numId w:val="16"/>
        </w:numPr>
      </w:pPr>
      <w:r>
        <w:t>Route to the Meeting</w:t>
      </w:r>
    </w:p>
    <w:p w14:paraId="39410A0C" w14:textId="3BC014CD"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 as part of its development. The group have either supported the content, or their feedback has informed the development of the content presented in this report.</w:t>
      </w:r>
    </w:p>
    <w:p w14:paraId="52EADBA1" w14:textId="77777777" w:rsidR="002F3347" w:rsidRPr="00BF3AF0" w:rsidRDefault="002F3347" w:rsidP="00BF3AF0">
      <w:pPr>
        <w:spacing w:before="40" w:after="40" w:line="276" w:lineRule="auto"/>
        <w:ind w:left="720"/>
        <w:rPr>
          <w:rFonts w:cs="Arial"/>
          <w:szCs w:val="24"/>
        </w:rPr>
      </w:pPr>
    </w:p>
    <w:p w14:paraId="0A2A5057" w14:textId="00BF22A6" w:rsidR="00446219" w:rsidRDefault="0039774F" w:rsidP="00446219">
      <w:pPr>
        <w:pStyle w:val="ListParagraph"/>
        <w:numPr>
          <w:ilvl w:val="0"/>
          <w:numId w:val="5"/>
        </w:numPr>
        <w:spacing w:line="276" w:lineRule="auto"/>
        <w:rPr>
          <w:rFonts w:ascii="Arial" w:hAnsi="Arial" w:cs="Arial"/>
          <w:sz w:val="24"/>
        </w:rPr>
      </w:pPr>
      <w:r w:rsidRPr="0039774F">
        <w:rPr>
          <w:rFonts w:ascii="Arial" w:hAnsi="Arial" w:cs="Arial"/>
          <w:sz w:val="24"/>
        </w:rPr>
        <w:t xml:space="preserve">Whistleblowing Oversight Group, </w:t>
      </w:r>
      <w:r w:rsidR="002C6DEB">
        <w:rPr>
          <w:rFonts w:ascii="Arial" w:hAnsi="Arial" w:cs="Arial"/>
          <w:sz w:val="24"/>
        </w:rPr>
        <w:t>23 October 2025</w:t>
      </w:r>
    </w:p>
    <w:p w14:paraId="3FA0DD5D" w14:textId="2D3996A4" w:rsidR="00D15E57" w:rsidRDefault="00D15E57" w:rsidP="00446219">
      <w:pPr>
        <w:pStyle w:val="ListParagraph"/>
        <w:numPr>
          <w:ilvl w:val="0"/>
          <w:numId w:val="5"/>
        </w:numPr>
        <w:spacing w:line="276" w:lineRule="auto"/>
        <w:rPr>
          <w:rFonts w:ascii="Arial" w:hAnsi="Arial" w:cs="Arial"/>
          <w:sz w:val="24"/>
        </w:rPr>
      </w:pPr>
      <w:r>
        <w:rPr>
          <w:rFonts w:ascii="Arial" w:hAnsi="Arial" w:cs="Arial"/>
          <w:sz w:val="24"/>
        </w:rPr>
        <w:t>Staff Governance Group, 13 October 2025</w:t>
      </w:r>
    </w:p>
    <w:p w14:paraId="1554DA1D" w14:textId="2B721AFA" w:rsidR="005D7CDC" w:rsidRDefault="00192782" w:rsidP="00446219">
      <w:pPr>
        <w:pStyle w:val="ListParagraph"/>
        <w:numPr>
          <w:ilvl w:val="0"/>
          <w:numId w:val="5"/>
        </w:numPr>
        <w:spacing w:line="276" w:lineRule="auto"/>
        <w:rPr>
          <w:rFonts w:ascii="Arial" w:hAnsi="Arial" w:cs="Arial"/>
          <w:sz w:val="24"/>
        </w:rPr>
      </w:pPr>
      <w:r>
        <w:rPr>
          <w:rFonts w:ascii="Arial" w:hAnsi="Arial" w:cs="Arial"/>
          <w:sz w:val="24"/>
        </w:rPr>
        <w:t>Partnership Forum,</w:t>
      </w:r>
      <w:r w:rsidR="005D7CDC">
        <w:rPr>
          <w:rFonts w:ascii="Arial" w:hAnsi="Arial" w:cs="Arial"/>
          <w:sz w:val="24"/>
        </w:rPr>
        <w:t xml:space="preserve"> 17 October 2025</w:t>
      </w:r>
    </w:p>
    <w:p w14:paraId="517BFF57" w14:textId="3950AA4F" w:rsidR="00192782" w:rsidRPr="002C6DEB" w:rsidRDefault="00192782" w:rsidP="00446219">
      <w:pPr>
        <w:pStyle w:val="ListParagraph"/>
        <w:numPr>
          <w:ilvl w:val="0"/>
          <w:numId w:val="5"/>
        </w:numPr>
        <w:spacing w:line="276" w:lineRule="auto"/>
        <w:rPr>
          <w:rFonts w:ascii="Arial" w:hAnsi="Arial" w:cs="Arial"/>
          <w:sz w:val="24"/>
        </w:rPr>
      </w:pPr>
      <w:r>
        <w:rPr>
          <w:rFonts w:ascii="Arial" w:hAnsi="Arial" w:cs="Arial"/>
          <w:sz w:val="24"/>
        </w:rPr>
        <w:t>Staff Governance and Person Centred Committee, 6 November 2025</w:t>
      </w:r>
    </w:p>
    <w:p w14:paraId="1458CC43" w14:textId="77777777" w:rsidR="00430C09" w:rsidRDefault="00430C09" w:rsidP="00430C09">
      <w:pPr>
        <w:pStyle w:val="Heading2"/>
        <w:spacing w:line="276" w:lineRule="auto"/>
      </w:pPr>
    </w:p>
    <w:p w14:paraId="2DA0D1BA" w14:textId="77777777" w:rsidR="00BF3AF0" w:rsidRDefault="00C87B62" w:rsidP="00BF3AF0">
      <w:pPr>
        <w:pStyle w:val="Heading2"/>
      </w:pPr>
      <w:r>
        <w:t>2.</w:t>
      </w:r>
      <w:r w:rsidR="00BF3AF0">
        <w:t>4</w:t>
      </w:r>
      <w:r w:rsidR="00BF3AF0">
        <w:tab/>
        <w:t>Recommendation</w:t>
      </w:r>
      <w:bookmarkStart w:id="0" w:name="_GoBack"/>
      <w:bookmarkEnd w:id="0"/>
    </w:p>
    <w:p w14:paraId="137719A2" w14:textId="5D90F3BA" w:rsidR="004743B7" w:rsidRPr="00F418EF" w:rsidRDefault="0039774F" w:rsidP="00F418EF">
      <w:pPr>
        <w:spacing w:before="40" w:after="40" w:line="276" w:lineRule="auto"/>
        <w:rPr>
          <w:rFonts w:cs="Arial"/>
          <w:color w:val="000000"/>
          <w:szCs w:val="24"/>
        </w:rPr>
      </w:pPr>
      <w:r w:rsidRPr="00F418EF">
        <w:rPr>
          <w:rFonts w:cs="Arial"/>
          <w:color w:val="000000"/>
          <w:szCs w:val="24"/>
        </w:rPr>
        <w:tab/>
      </w:r>
      <w:r w:rsidR="00192782">
        <w:rPr>
          <w:rFonts w:cs="Arial"/>
          <w:color w:val="000000"/>
          <w:szCs w:val="24"/>
        </w:rPr>
        <w:t>The Board</w:t>
      </w:r>
      <w:r w:rsidR="00F418EF" w:rsidRPr="00F418EF">
        <w:rPr>
          <w:rFonts w:cs="Arial"/>
          <w:color w:val="000000"/>
          <w:szCs w:val="24"/>
        </w:rPr>
        <w:t xml:space="preserve"> is asked to:</w:t>
      </w:r>
    </w:p>
    <w:p w14:paraId="7C2932C7" w14:textId="5DF56B38" w:rsidR="00446219" w:rsidRPr="00F418EF" w:rsidRDefault="00192782" w:rsidP="00F418EF">
      <w:pPr>
        <w:pStyle w:val="ListParagraph"/>
        <w:numPr>
          <w:ilvl w:val="0"/>
          <w:numId w:val="19"/>
        </w:numPr>
        <w:spacing w:before="40" w:after="40" w:line="276" w:lineRule="auto"/>
        <w:rPr>
          <w:rFonts w:ascii="Arial" w:hAnsi="Arial" w:cs="Arial"/>
          <w:color w:val="000000"/>
          <w:sz w:val="24"/>
          <w:szCs w:val="24"/>
        </w:rPr>
      </w:pPr>
      <w:r>
        <w:rPr>
          <w:rFonts w:ascii="Arial" w:hAnsi="Arial" w:cs="Arial"/>
          <w:b/>
          <w:color w:val="000000"/>
          <w:sz w:val="24"/>
          <w:szCs w:val="24"/>
        </w:rPr>
        <w:t>Approve</w:t>
      </w:r>
      <w:r w:rsidR="00BF3AF0" w:rsidRPr="00F418EF">
        <w:rPr>
          <w:rFonts w:ascii="Arial" w:hAnsi="Arial" w:cs="Arial"/>
          <w:color w:val="000000"/>
          <w:sz w:val="24"/>
          <w:szCs w:val="24"/>
        </w:rPr>
        <w:t xml:space="preserve"> </w:t>
      </w:r>
      <w:r w:rsidR="00F418EF" w:rsidRPr="00F418EF">
        <w:rPr>
          <w:rFonts w:ascii="Arial" w:hAnsi="Arial" w:cs="Arial"/>
          <w:color w:val="000000"/>
          <w:sz w:val="24"/>
          <w:szCs w:val="24"/>
        </w:rPr>
        <w:t>the Whis</w:t>
      </w:r>
      <w:r w:rsidR="00825A70">
        <w:rPr>
          <w:rFonts w:ascii="Arial" w:hAnsi="Arial" w:cs="Arial"/>
          <w:color w:val="000000"/>
          <w:sz w:val="24"/>
          <w:szCs w:val="24"/>
        </w:rPr>
        <w:t xml:space="preserve">tleblowing Report for Quarter </w:t>
      </w:r>
      <w:r w:rsidR="004743B7">
        <w:rPr>
          <w:rFonts w:ascii="Arial" w:hAnsi="Arial" w:cs="Arial"/>
          <w:color w:val="000000"/>
          <w:sz w:val="24"/>
          <w:szCs w:val="24"/>
        </w:rPr>
        <w:t>2</w:t>
      </w:r>
      <w:r w:rsidR="00825A70">
        <w:rPr>
          <w:rFonts w:ascii="Arial" w:hAnsi="Arial" w:cs="Arial"/>
          <w:color w:val="000000"/>
          <w:sz w:val="24"/>
          <w:szCs w:val="24"/>
        </w:rPr>
        <w:t xml:space="preserve"> 2025/26</w:t>
      </w:r>
      <w:r w:rsidR="00F418EF" w:rsidRPr="00F418EF">
        <w:rPr>
          <w:rFonts w:ascii="Arial" w:hAnsi="Arial" w:cs="Arial"/>
          <w:color w:val="000000"/>
          <w:sz w:val="24"/>
          <w:szCs w:val="24"/>
        </w:rPr>
        <w:t>.</w:t>
      </w:r>
    </w:p>
    <w:p w14:paraId="538DEEC8" w14:textId="77777777" w:rsidR="00C87B62" w:rsidRPr="00F418EF" w:rsidRDefault="00C87B62" w:rsidP="00C87B62">
      <w:pPr>
        <w:spacing w:before="40" w:after="40" w:line="276" w:lineRule="auto"/>
        <w:rPr>
          <w:rFonts w:cs="Arial"/>
          <w:szCs w:val="24"/>
        </w:rPr>
      </w:pPr>
    </w:p>
    <w:p w14:paraId="070E5D7B" w14:textId="77777777" w:rsidR="00C87B62" w:rsidRDefault="00F418EF" w:rsidP="00C87B62">
      <w:pPr>
        <w:pStyle w:val="Heading2"/>
        <w:numPr>
          <w:ilvl w:val="0"/>
          <w:numId w:val="16"/>
        </w:numPr>
        <w:spacing w:line="276" w:lineRule="auto"/>
      </w:pPr>
      <w:r>
        <w:t xml:space="preserve">   </w:t>
      </w:r>
      <w:r w:rsidR="00C87B62">
        <w:t>List of appendices</w:t>
      </w:r>
    </w:p>
    <w:p w14:paraId="4D24DD99" w14:textId="5BF72192" w:rsidR="00C87B62" w:rsidRDefault="00F418EF" w:rsidP="00C87B62">
      <w:pPr>
        <w:spacing w:before="40" w:after="40" w:line="276" w:lineRule="auto"/>
        <w:ind w:firstLine="525"/>
        <w:rPr>
          <w:rFonts w:cs="Arial"/>
          <w:color w:val="000000" w:themeColor="text1"/>
          <w:szCs w:val="24"/>
        </w:rPr>
      </w:pPr>
      <w:r>
        <w:rPr>
          <w:rFonts w:cs="Arial"/>
          <w:color w:val="000000" w:themeColor="text1"/>
          <w:szCs w:val="24"/>
        </w:rPr>
        <w:t xml:space="preserve">   There is one Appendix attached to this report</w:t>
      </w:r>
      <w:r w:rsidR="00C87B62" w:rsidRPr="00BF3AF0">
        <w:rPr>
          <w:rFonts w:cs="Arial"/>
          <w:color w:val="000000" w:themeColor="text1"/>
          <w:szCs w:val="24"/>
        </w:rPr>
        <w:t>:</w:t>
      </w:r>
    </w:p>
    <w:p w14:paraId="197426B4" w14:textId="6B034BA7" w:rsidR="00C87B62" w:rsidRPr="001E31A1" w:rsidRDefault="00C87B62" w:rsidP="00C87B62">
      <w:pPr>
        <w:pStyle w:val="ListParagraph"/>
        <w:numPr>
          <w:ilvl w:val="0"/>
          <w:numId w:val="17"/>
        </w:numPr>
        <w:spacing w:before="40" w:after="40" w:line="276" w:lineRule="auto"/>
        <w:ind w:left="993" w:hanging="284"/>
        <w:rPr>
          <w:rFonts w:cs="Arial"/>
          <w:color w:val="000000"/>
          <w:szCs w:val="24"/>
        </w:rPr>
      </w:pPr>
      <w:r w:rsidRPr="00F418EF">
        <w:rPr>
          <w:rFonts w:ascii="Arial" w:hAnsi="Arial" w:cs="Arial"/>
          <w:color w:val="000000"/>
          <w:sz w:val="24"/>
          <w:szCs w:val="24"/>
        </w:rPr>
        <w:t>Appendix No</w:t>
      </w:r>
      <w:r w:rsidR="00F418EF" w:rsidRPr="00F418EF">
        <w:rPr>
          <w:rFonts w:ascii="Arial" w:hAnsi="Arial" w:cs="Arial"/>
          <w:color w:val="000000"/>
          <w:sz w:val="24"/>
          <w:szCs w:val="24"/>
        </w:rPr>
        <w:t xml:space="preserve"> 1</w:t>
      </w:r>
      <w:r w:rsidRPr="00F418EF">
        <w:rPr>
          <w:rFonts w:ascii="Arial" w:hAnsi="Arial" w:cs="Arial"/>
          <w:color w:val="000000"/>
          <w:sz w:val="24"/>
          <w:szCs w:val="24"/>
        </w:rPr>
        <w:t>,</w:t>
      </w:r>
      <w:r w:rsidR="00F418EF" w:rsidRPr="00F418EF">
        <w:rPr>
          <w:rFonts w:ascii="Arial" w:hAnsi="Arial" w:cs="Arial"/>
          <w:color w:val="000000"/>
          <w:sz w:val="24"/>
          <w:szCs w:val="24"/>
        </w:rPr>
        <w:t xml:space="preserve"> Whistleblowing Annual Report for </w:t>
      </w:r>
      <w:r w:rsidR="00F80150">
        <w:rPr>
          <w:rFonts w:ascii="Arial" w:hAnsi="Arial" w:cs="Arial"/>
          <w:color w:val="000000"/>
          <w:sz w:val="24"/>
          <w:szCs w:val="24"/>
        </w:rPr>
        <w:t xml:space="preserve">Quarter </w:t>
      </w:r>
      <w:r w:rsidR="004743B7">
        <w:rPr>
          <w:rFonts w:ascii="Arial" w:hAnsi="Arial" w:cs="Arial"/>
          <w:color w:val="000000"/>
          <w:sz w:val="24"/>
          <w:szCs w:val="24"/>
        </w:rPr>
        <w:t>2</w:t>
      </w:r>
      <w:r w:rsidR="00F80150">
        <w:rPr>
          <w:rFonts w:ascii="Arial" w:hAnsi="Arial" w:cs="Arial"/>
          <w:color w:val="000000"/>
          <w:sz w:val="24"/>
          <w:szCs w:val="24"/>
        </w:rPr>
        <w:t xml:space="preserve"> 2</w:t>
      </w:r>
      <w:r w:rsidR="00825A70">
        <w:rPr>
          <w:rFonts w:ascii="Arial" w:hAnsi="Arial" w:cs="Arial"/>
          <w:color w:val="000000"/>
          <w:sz w:val="24"/>
          <w:szCs w:val="24"/>
        </w:rPr>
        <w:t>025/26</w:t>
      </w:r>
      <w:r w:rsidR="00F923F7">
        <w:rPr>
          <w:rFonts w:ascii="Arial" w:hAnsi="Arial" w:cs="Arial"/>
          <w:color w:val="000000"/>
          <w:sz w:val="24"/>
          <w:szCs w:val="24"/>
        </w:rPr>
        <w:t>.</w:t>
      </w:r>
    </w:p>
    <w:sectPr w:rsidR="00C87B62" w:rsidRPr="001E31A1"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37E4" w14:textId="77777777" w:rsidR="00F662F5" w:rsidRDefault="00F662F5">
      <w:r>
        <w:separator/>
      </w:r>
    </w:p>
  </w:endnote>
  <w:endnote w:type="continuationSeparator" w:id="0">
    <w:p w14:paraId="60315827" w14:textId="77777777" w:rsidR="00F662F5" w:rsidRDefault="00F6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EB3E" w14:textId="77777777" w:rsidR="00610728" w:rsidRDefault="00610728" w:rsidP="003F7F61">
    <w:pPr>
      <w:pStyle w:val="Footer"/>
      <w:jc w:val="center"/>
      <w:rPr>
        <w:rFonts w:cs="Arial"/>
        <w:sz w:val="16"/>
        <w:szCs w:val="16"/>
      </w:rPr>
    </w:pPr>
  </w:p>
  <w:p w14:paraId="6DB39D0F" w14:textId="3B21ABDC"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92782">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92782">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902C" w14:textId="77777777" w:rsidR="00F662F5" w:rsidRDefault="00F662F5">
      <w:r>
        <w:separator/>
      </w:r>
    </w:p>
  </w:footnote>
  <w:footnote w:type="continuationSeparator" w:id="0">
    <w:p w14:paraId="2B50CD79" w14:textId="77777777" w:rsidR="00F662F5" w:rsidRDefault="00F6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AB9A" w14:textId="19CD094D" w:rsidR="004C3A01" w:rsidRPr="00125A9E" w:rsidRDefault="00192782" w:rsidP="004C3A01">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289AEEF8"/>
    <w:lvl w:ilvl="0" w:tplc="08090001">
      <w:start w:val="1"/>
      <w:numFmt w:val="bullet"/>
      <w:lvlText w:val=""/>
      <w:lvlJc w:val="left"/>
      <w:pPr>
        <w:ind w:left="360" w:hanging="360"/>
      </w:pPr>
      <w:rPr>
        <w:rFonts w:ascii="Symbol" w:hAnsi="Symbol" w:hint="default"/>
      </w:rPr>
    </w:lvl>
    <w:lvl w:ilvl="1" w:tplc="59629CA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8C0BEE"/>
    <w:multiLevelType w:val="hybridMultilevel"/>
    <w:tmpl w:val="CF82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2654E3"/>
    <w:multiLevelType w:val="hybridMultilevel"/>
    <w:tmpl w:val="B396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A77393"/>
    <w:multiLevelType w:val="hybridMultilevel"/>
    <w:tmpl w:val="109EF024"/>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612099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E14831"/>
    <w:multiLevelType w:val="hybridMultilevel"/>
    <w:tmpl w:val="8AAECA1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7C121971"/>
    <w:multiLevelType w:val="hybridMultilevel"/>
    <w:tmpl w:val="770A6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4"/>
  </w:num>
  <w:num w:numId="4">
    <w:abstractNumId w:val="20"/>
  </w:num>
  <w:num w:numId="5">
    <w:abstractNumId w:val="10"/>
  </w:num>
  <w:num w:numId="6">
    <w:abstractNumId w:val="6"/>
  </w:num>
  <w:num w:numId="7">
    <w:abstractNumId w:val="15"/>
  </w:num>
  <w:num w:numId="8">
    <w:abstractNumId w:val="5"/>
  </w:num>
  <w:num w:numId="9">
    <w:abstractNumId w:val="17"/>
  </w:num>
  <w:num w:numId="10">
    <w:abstractNumId w:val="3"/>
  </w:num>
  <w:num w:numId="11">
    <w:abstractNumId w:val="18"/>
  </w:num>
  <w:num w:numId="12">
    <w:abstractNumId w:val="2"/>
  </w:num>
  <w:num w:numId="13">
    <w:abstractNumId w:val="4"/>
  </w:num>
  <w:num w:numId="14">
    <w:abstractNumId w:val="7"/>
  </w:num>
  <w:num w:numId="15">
    <w:abstractNumId w:val="11"/>
  </w:num>
  <w:num w:numId="16">
    <w:abstractNumId w:val="8"/>
  </w:num>
  <w:num w:numId="17">
    <w:abstractNumId w:val="16"/>
  </w:num>
  <w:num w:numId="18">
    <w:abstractNumId w:val="0"/>
  </w:num>
  <w:num w:numId="19">
    <w:abstractNumId w:val="12"/>
  </w:num>
  <w:num w:numId="20">
    <w:abstractNumId w:val="21"/>
  </w:num>
  <w:num w:numId="21">
    <w:abstractNumId w:val="13"/>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143B"/>
    <w:rsid w:val="00091974"/>
    <w:rsid w:val="000945DB"/>
    <w:rsid w:val="000F7706"/>
    <w:rsid w:val="00113B1E"/>
    <w:rsid w:val="00125A9E"/>
    <w:rsid w:val="00140061"/>
    <w:rsid w:val="00140DB3"/>
    <w:rsid w:val="00144C64"/>
    <w:rsid w:val="00192782"/>
    <w:rsid w:val="001A40AD"/>
    <w:rsid w:val="001E31A1"/>
    <w:rsid w:val="001F2975"/>
    <w:rsid w:val="00223E28"/>
    <w:rsid w:val="0023473B"/>
    <w:rsid w:val="002C6DEB"/>
    <w:rsid w:val="002F3347"/>
    <w:rsid w:val="0033790B"/>
    <w:rsid w:val="0039774F"/>
    <w:rsid w:val="003C517F"/>
    <w:rsid w:val="003D47EE"/>
    <w:rsid w:val="003E5654"/>
    <w:rsid w:val="003F7F61"/>
    <w:rsid w:val="00430C09"/>
    <w:rsid w:val="004432A5"/>
    <w:rsid w:val="00446219"/>
    <w:rsid w:val="004743B7"/>
    <w:rsid w:val="00495B36"/>
    <w:rsid w:val="004A39D0"/>
    <w:rsid w:val="004C24DE"/>
    <w:rsid w:val="004C3A01"/>
    <w:rsid w:val="004D58C6"/>
    <w:rsid w:val="005141D3"/>
    <w:rsid w:val="00591C18"/>
    <w:rsid w:val="00593821"/>
    <w:rsid w:val="005D7CDC"/>
    <w:rsid w:val="00610728"/>
    <w:rsid w:val="006173A9"/>
    <w:rsid w:val="006A01A8"/>
    <w:rsid w:val="006A1D08"/>
    <w:rsid w:val="006C5C9F"/>
    <w:rsid w:val="006D1343"/>
    <w:rsid w:val="007253C3"/>
    <w:rsid w:val="007B450E"/>
    <w:rsid w:val="007F32CF"/>
    <w:rsid w:val="00816E22"/>
    <w:rsid w:val="00817E2D"/>
    <w:rsid w:val="00825A70"/>
    <w:rsid w:val="00860629"/>
    <w:rsid w:val="00874282"/>
    <w:rsid w:val="008F7538"/>
    <w:rsid w:val="008F7611"/>
    <w:rsid w:val="00903379"/>
    <w:rsid w:val="00927C6C"/>
    <w:rsid w:val="009807B4"/>
    <w:rsid w:val="009828B9"/>
    <w:rsid w:val="009B1BFA"/>
    <w:rsid w:val="009F6960"/>
    <w:rsid w:val="00A10B15"/>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04AEA"/>
    <w:rsid w:val="00C87958"/>
    <w:rsid w:val="00C87B62"/>
    <w:rsid w:val="00C90A08"/>
    <w:rsid w:val="00C94BF7"/>
    <w:rsid w:val="00C97BA8"/>
    <w:rsid w:val="00CB0E9A"/>
    <w:rsid w:val="00D15E57"/>
    <w:rsid w:val="00D17B29"/>
    <w:rsid w:val="00DD2D3D"/>
    <w:rsid w:val="00DD6252"/>
    <w:rsid w:val="00DF1BE0"/>
    <w:rsid w:val="00E515AF"/>
    <w:rsid w:val="00E71CD2"/>
    <w:rsid w:val="00E8468C"/>
    <w:rsid w:val="00F3337D"/>
    <w:rsid w:val="00F37ADD"/>
    <w:rsid w:val="00F418EF"/>
    <w:rsid w:val="00F662F5"/>
    <w:rsid w:val="00F715DF"/>
    <w:rsid w:val="00F74627"/>
    <w:rsid w:val="00F80150"/>
    <w:rsid w:val="00F9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B4381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Spacing">
    <w:name w:val="No Spacing"/>
    <w:uiPriority w:val="1"/>
    <w:qFormat/>
    <w:rsid w:val="00144C64"/>
    <w:pPr>
      <w:spacing w:after="0" w:line="240" w:lineRule="auto"/>
    </w:pPr>
    <w:rPr>
      <w:rFonts w:eastAsia="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0618">
      <w:bodyDiv w:val="1"/>
      <w:marLeft w:val="0"/>
      <w:marRight w:val="0"/>
      <w:marTop w:val="0"/>
      <w:marBottom w:val="0"/>
      <w:divBdr>
        <w:top w:val="none" w:sz="0" w:space="0" w:color="auto"/>
        <w:left w:val="none" w:sz="0" w:space="0" w:color="auto"/>
        <w:bottom w:val="none" w:sz="0" w:space="0" w:color="auto"/>
        <w:right w:val="none" w:sz="0" w:space="0" w:color="auto"/>
      </w:divBdr>
    </w:div>
    <w:div w:id="1940747931">
      <w:bodyDiv w:val="1"/>
      <w:marLeft w:val="0"/>
      <w:marRight w:val="0"/>
      <w:marTop w:val="0"/>
      <w:marBottom w:val="0"/>
      <w:divBdr>
        <w:top w:val="none" w:sz="0" w:space="0" w:color="auto"/>
        <w:left w:val="none" w:sz="0" w:space="0" w:color="auto"/>
        <w:bottom w:val="none" w:sz="0" w:space="0" w:color="auto"/>
        <w:right w:val="none" w:sz="0" w:space="0" w:color="auto"/>
      </w:divBdr>
    </w:div>
    <w:div w:id="21366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10</cp:revision>
  <cp:lastPrinted>2019-10-07T12:25:00Z</cp:lastPrinted>
  <dcterms:created xsi:type="dcterms:W3CDTF">2025-09-30T13:52:00Z</dcterms:created>
  <dcterms:modified xsi:type="dcterms:W3CDTF">2025-11-17T16:18:00Z</dcterms:modified>
</cp:coreProperties>
</file>