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506517" w:rsidRDefault="004512CE" w:rsidP="00506517">
      <w:pPr>
        <w:ind w:right="183"/>
        <w:jc w:val="right"/>
        <w:rPr>
          <w:rFonts w:ascii="Arial" w:hAnsi="Arial" w:cs="Arial"/>
          <w:b/>
          <w:bCs/>
          <w:color w:val="244061"/>
          <w:sz w:val="20"/>
          <w:szCs w:val="20"/>
        </w:rPr>
      </w:pPr>
      <w:r w:rsidRPr="00506517">
        <w:rPr>
          <w:rFonts w:ascii="Arial" w:hAnsi="Arial" w:cs="Arial"/>
          <w:b/>
          <w:bCs/>
          <w:color w:val="244061"/>
          <w:sz w:val="20"/>
          <w:szCs w:val="20"/>
        </w:rPr>
        <w:t xml:space="preserve">Ref: </w:t>
      </w:r>
      <w:r w:rsidR="001849E6" w:rsidRPr="00506517">
        <w:rPr>
          <w:rFonts w:ascii="Arial" w:hAnsi="Arial" w:cs="Arial"/>
          <w:b/>
          <w:bCs/>
          <w:color w:val="244061"/>
          <w:sz w:val="20"/>
          <w:szCs w:val="20"/>
        </w:rPr>
        <w:t>GJF/</w:t>
      </w:r>
      <w:r w:rsidR="00DF4F6A">
        <w:rPr>
          <w:rFonts w:ascii="Arial" w:hAnsi="Arial" w:cs="Arial"/>
          <w:b/>
          <w:bCs/>
          <w:color w:val="244061"/>
          <w:sz w:val="20"/>
          <w:szCs w:val="20"/>
        </w:rPr>
        <w:t>2017</w:t>
      </w:r>
      <w:r w:rsidR="00513DB0" w:rsidRPr="00506517">
        <w:rPr>
          <w:rFonts w:ascii="Arial" w:hAnsi="Arial" w:cs="Arial"/>
          <w:b/>
          <w:bCs/>
          <w:color w:val="244061"/>
          <w:sz w:val="20"/>
          <w:szCs w:val="20"/>
        </w:rPr>
        <w:t>/</w:t>
      </w:r>
      <w:r w:rsidR="00DF4F6A">
        <w:rPr>
          <w:rFonts w:ascii="Arial" w:hAnsi="Arial" w:cs="Arial"/>
          <w:b/>
          <w:bCs/>
          <w:color w:val="244061"/>
          <w:sz w:val="20"/>
          <w:szCs w:val="20"/>
        </w:rPr>
        <w:t>10</w:t>
      </w:r>
      <w:r w:rsidR="00513DB0" w:rsidRPr="00506517">
        <w:rPr>
          <w:rFonts w:ascii="Arial" w:hAnsi="Arial" w:cs="Arial"/>
          <w:b/>
          <w:bCs/>
          <w:color w:val="244061"/>
          <w:sz w:val="20"/>
          <w:szCs w:val="20"/>
        </w:rPr>
        <w:t>/</w:t>
      </w:r>
      <w:r w:rsidR="00C06A41">
        <w:rPr>
          <w:rFonts w:ascii="Arial" w:hAnsi="Arial" w:cs="Arial"/>
          <w:b/>
          <w:bCs/>
          <w:color w:val="244061"/>
          <w:sz w:val="20"/>
          <w:szCs w:val="20"/>
        </w:rPr>
        <w:t>05</w:t>
      </w:r>
    </w:p>
    <w:p w:rsidR="00513DB0" w:rsidRDefault="00DF4F6A"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4171315</wp:posOffset>
            </wp:positionH>
            <wp:positionV relativeFrom="paragraph">
              <wp:posOffset>62865</wp:posOffset>
            </wp:positionV>
            <wp:extent cx="1591310" cy="1591310"/>
            <wp:effectExtent l="19050" t="0" r="889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591310" cy="1591310"/>
                    </a:xfrm>
                    <a:prstGeom prst="rect">
                      <a:avLst/>
                    </a:prstGeom>
                    <a:noFill/>
                    <a:ln w="9525">
                      <a:noFill/>
                      <a:miter lim="800000"/>
                      <a:headEnd/>
                      <a:tailEnd/>
                    </a:ln>
                  </pic:spPr>
                </pic:pic>
              </a:graphicData>
            </a:graphic>
          </wp:anchor>
        </w:drawing>
      </w:r>
    </w:p>
    <w:p w:rsidR="00A2577B" w:rsidRPr="001175E5" w:rsidRDefault="00882F92" w:rsidP="0050651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887F53">
        <w:rPr>
          <w:rFonts w:ascii="Arial" w:hAnsi="Arial" w:cs="Arial"/>
          <w:b w:val="0"/>
          <w:sz w:val="24"/>
          <w:szCs w:val="24"/>
        </w:rPr>
        <w:t>26 October 2017</w:t>
      </w:r>
    </w:p>
    <w:p w:rsidR="001175E5" w:rsidRPr="00682309" w:rsidRDefault="001175E5" w:rsidP="00506517">
      <w:pPr>
        <w:ind w:left="-426" w:right="183"/>
        <w:rPr>
          <w:rFonts w:ascii="Arial" w:hAnsi="Arial" w:cs="Arial"/>
        </w:rPr>
      </w:pPr>
    </w:p>
    <w:p w:rsidR="00A2577B" w:rsidRPr="00682309" w:rsidRDefault="00A2577B" w:rsidP="00506517">
      <w:pPr>
        <w:ind w:left="-426"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887F53">
        <w:rPr>
          <w:rFonts w:ascii="Arial" w:hAnsi="Arial" w:cs="Arial"/>
          <w:bCs/>
        </w:rPr>
        <w:t>Person Centred Committee update</w:t>
      </w:r>
    </w:p>
    <w:p w:rsidR="00A2577B" w:rsidRPr="00682309" w:rsidRDefault="00A2577B" w:rsidP="00506517">
      <w:pPr>
        <w:ind w:left="-426" w:right="183"/>
        <w:rPr>
          <w:rFonts w:ascii="Arial" w:hAnsi="Arial" w:cs="Arial"/>
          <w:b/>
          <w:bCs/>
        </w:rPr>
      </w:pPr>
      <w:r w:rsidRPr="00682309">
        <w:rPr>
          <w:rFonts w:ascii="Arial" w:hAnsi="Arial" w:cs="Arial"/>
          <w:b/>
          <w:bCs/>
        </w:rPr>
        <w:tab/>
      </w:r>
    </w:p>
    <w:p w:rsidR="00506517" w:rsidRPr="00887F53" w:rsidRDefault="00A2577B" w:rsidP="00887F53">
      <w:pPr>
        <w:ind w:left="2127" w:right="183" w:hanging="2553"/>
        <w:rPr>
          <w:rFonts w:ascii="Arial" w:hAnsi="Arial" w:cs="Arial"/>
          <w:sz w:val="18"/>
          <w:szCs w:val="18"/>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 xml:space="preserve">Board members are asked to </w:t>
      </w:r>
      <w:r w:rsidR="00887F53">
        <w:rPr>
          <w:rFonts w:ascii="Arial" w:hAnsi="Arial" w:cs="Arial"/>
        </w:rPr>
        <w:t>note the update on discussions at the Person Centred Committee meeting on 10 October 2017.</w:t>
      </w:r>
      <w:r w:rsidR="00FD5E76">
        <w:rPr>
          <w:rFonts w:ascii="Arial" w:hAnsi="Arial" w:cs="Arial"/>
          <w:i/>
          <w:iCs/>
        </w:rPr>
        <w:br/>
      </w: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Default="001175E5" w:rsidP="00506517">
      <w:pPr>
        <w:pStyle w:val="BodyTextIndent"/>
        <w:ind w:left="-426" w:right="183" w:firstLine="0"/>
        <w:rPr>
          <w:rFonts w:ascii="Arial" w:hAnsi="Arial" w:cs="Arial"/>
          <w:b/>
          <w:bCs/>
        </w:rPr>
      </w:pPr>
    </w:p>
    <w:p w:rsidR="001175E5" w:rsidRPr="001175E5" w:rsidRDefault="001175E5" w:rsidP="00506517">
      <w:pPr>
        <w:pStyle w:val="Heading2"/>
        <w:ind w:left="-426" w:right="183"/>
        <w:rPr>
          <w:i w:val="0"/>
          <w:sz w:val="24"/>
          <w:szCs w:val="24"/>
        </w:rPr>
      </w:pPr>
      <w:r w:rsidRPr="001175E5">
        <w:rPr>
          <w:i w:val="0"/>
          <w:sz w:val="24"/>
          <w:szCs w:val="24"/>
        </w:rPr>
        <w:t>1</w:t>
      </w:r>
      <w:r w:rsidRPr="001175E5">
        <w:rPr>
          <w:i w:val="0"/>
          <w:sz w:val="24"/>
          <w:szCs w:val="24"/>
        </w:rPr>
        <w:tab/>
        <w:t>Background</w:t>
      </w:r>
    </w:p>
    <w:p w:rsidR="006D232B" w:rsidRDefault="001175E5" w:rsidP="00506517">
      <w:pPr>
        <w:ind w:left="-426" w:right="183"/>
        <w:rPr>
          <w:rFonts w:ascii="Arial" w:hAnsi="Arial" w:cs="Arial"/>
          <w:b/>
          <w:bCs/>
        </w:rPr>
      </w:pPr>
      <w:r w:rsidRPr="001175E5">
        <w:rPr>
          <w:rFonts w:ascii="Arial" w:hAnsi="Arial" w:cs="Arial"/>
          <w:b/>
          <w:bCs/>
        </w:rPr>
        <w:tab/>
      </w:r>
    </w:p>
    <w:p w:rsidR="006D232B" w:rsidRPr="006D232B" w:rsidRDefault="006D232B" w:rsidP="00506517">
      <w:pPr>
        <w:rPr>
          <w:rFonts w:ascii="Arial" w:hAnsi="Arial" w:cs="Arial"/>
        </w:rPr>
      </w:pPr>
      <w:r w:rsidRPr="006D232B">
        <w:rPr>
          <w:rFonts w:ascii="Arial" w:hAnsi="Arial" w:cs="Arial"/>
        </w:rPr>
        <w:t>The following key points were agreed at the meeting and have been split into the three high level quality ambitions of person centred, safe, and effective.</w:t>
      </w:r>
    </w:p>
    <w:p w:rsidR="006D232B" w:rsidRPr="006D232B"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25"/>
        <w:gridCol w:w="7904"/>
        <w:gridCol w:w="34"/>
      </w:tblGrid>
      <w:tr w:rsidR="00C06A41" w:rsidRPr="00745A4B" w:rsidTr="00C06A41">
        <w:trPr>
          <w:gridAfter w:val="1"/>
          <w:wAfter w:w="34" w:type="dxa"/>
          <w:trHeight w:val="388"/>
        </w:trPr>
        <w:tc>
          <w:tcPr>
            <w:tcW w:w="1251" w:type="dxa"/>
            <w:shd w:val="clear" w:color="auto" w:fill="0000FF"/>
          </w:tcPr>
          <w:p w:rsidR="00C06A41" w:rsidRPr="00745A4B" w:rsidRDefault="00C06A41" w:rsidP="00416CB7">
            <w:pPr>
              <w:ind w:left="34"/>
              <w:rPr>
                <w:rFonts w:ascii="Arial" w:hAnsi="Arial" w:cs="Arial"/>
                <w:b/>
                <w:bCs/>
                <w:color w:val="FFFFFF"/>
                <w:lang w:val="en-US"/>
              </w:rPr>
            </w:pPr>
            <w:r w:rsidRPr="00745A4B">
              <w:rPr>
                <w:rFonts w:ascii="Arial" w:hAnsi="Arial" w:cs="Arial"/>
                <w:b/>
                <w:bCs/>
                <w:color w:val="FFFFFF"/>
                <w:lang w:val="en-US"/>
              </w:rPr>
              <w:t>Item</w:t>
            </w:r>
          </w:p>
        </w:tc>
        <w:tc>
          <w:tcPr>
            <w:tcW w:w="7929" w:type="dxa"/>
            <w:gridSpan w:val="2"/>
            <w:shd w:val="clear" w:color="auto" w:fill="0000FF"/>
          </w:tcPr>
          <w:p w:rsidR="00C06A41" w:rsidRPr="00745A4B" w:rsidRDefault="00C06A41" w:rsidP="00416CB7">
            <w:pPr>
              <w:rPr>
                <w:rFonts w:ascii="Arial" w:hAnsi="Arial" w:cs="Arial"/>
                <w:b/>
                <w:bCs/>
                <w:color w:val="FFFFFF"/>
                <w:lang w:val="en-US"/>
              </w:rPr>
            </w:pPr>
            <w:r w:rsidRPr="00745A4B">
              <w:rPr>
                <w:rFonts w:ascii="Arial" w:hAnsi="Arial" w:cs="Arial"/>
                <w:b/>
                <w:bCs/>
                <w:color w:val="FFFFFF"/>
                <w:lang w:val="en-US"/>
              </w:rPr>
              <w:t>Details</w:t>
            </w:r>
          </w:p>
        </w:tc>
      </w:tr>
      <w:tr w:rsidR="00DF4F6A" w:rsidRPr="00887F53" w:rsidTr="00C06A41">
        <w:tc>
          <w:tcPr>
            <w:tcW w:w="1276" w:type="dxa"/>
            <w:gridSpan w:val="2"/>
          </w:tcPr>
          <w:p w:rsidR="00DF4F6A" w:rsidRPr="00887F53" w:rsidRDefault="00DF4F6A" w:rsidP="00887F53">
            <w:pPr>
              <w:rPr>
                <w:rFonts w:ascii="Arial" w:hAnsi="Arial" w:cs="Arial"/>
                <w:b/>
                <w:bCs/>
                <w:lang w:val="en-US"/>
              </w:rPr>
            </w:pPr>
            <w:r w:rsidRPr="00887F53">
              <w:rPr>
                <w:rFonts w:ascii="Arial" w:hAnsi="Arial" w:cs="Arial"/>
                <w:b/>
                <w:bCs/>
                <w:lang w:val="en-US"/>
              </w:rPr>
              <w:t xml:space="preserve">Person </w:t>
            </w:r>
            <w:proofErr w:type="spellStart"/>
            <w:r w:rsidRPr="00887F53">
              <w:rPr>
                <w:rFonts w:ascii="Arial" w:hAnsi="Arial" w:cs="Arial"/>
                <w:b/>
                <w:bCs/>
                <w:lang w:val="en-US"/>
              </w:rPr>
              <w:t>Centred</w:t>
            </w:r>
            <w:proofErr w:type="spellEnd"/>
          </w:p>
          <w:p w:rsidR="00DF4F6A" w:rsidRPr="00887F53" w:rsidRDefault="00DF4F6A" w:rsidP="00887F53">
            <w:pPr>
              <w:rPr>
                <w:rFonts w:ascii="Arial" w:hAnsi="Arial" w:cs="Arial"/>
                <w:bCs/>
                <w:lang w:val="en-US"/>
              </w:rPr>
            </w:pPr>
          </w:p>
          <w:p w:rsidR="00DF4F6A" w:rsidRPr="00887F53" w:rsidRDefault="00DF4F6A" w:rsidP="00887F53">
            <w:pPr>
              <w:rPr>
                <w:rFonts w:ascii="Arial" w:hAnsi="Arial" w:cs="Arial"/>
                <w:bCs/>
                <w:lang w:val="en-US"/>
              </w:rPr>
            </w:pPr>
          </w:p>
          <w:p w:rsidR="00DF4F6A" w:rsidRPr="00887F53" w:rsidRDefault="00DF4F6A" w:rsidP="00887F53">
            <w:pPr>
              <w:rPr>
                <w:rFonts w:ascii="Arial" w:hAnsi="Arial" w:cs="Arial"/>
                <w:bCs/>
                <w:lang w:val="en-US"/>
              </w:rPr>
            </w:pPr>
          </w:p>
        </w:tc>
        <w:tc>
          <w:tcPr>
            <w:tcW w:w="7938" w:type="dxa"/>
            <w:gridSpan w:val="2"/>
          </w:tcPr>
          <w:p w:rsidR="00DF4F6A" w:rsidRPr="00887F53" w:rsidRDefault="00DF4F6A" w:rsidP="00887F53">
            <w:pPr>
              <w:rPr>
                <w:rFonts w:ascii="Arial" w:hAnsi="Arial" w:cs="Arial"/>
                <w:b/>
                <w:color w:val="000000"/>
              </w:rPr>
            </w:pPr>
            <w:r w:rsidRPr="00887F53">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DF4F6A" w:rsidRPr="00887F53" w:rsidRDefault="00DF4F6A" w:rsidP="00887F53">
            <w:pPr>
              <w:rPr>
                <w:rFonts w:ascii="Arial" w:hAnsi="Arial" w:cs="Arial"/>
                <w:b/>
                <w:color w:val="000000"/>
              </w:rPr>
            </w:pPr>
          </w:p>
          <w:p w:rsidR="00DF4F6A" w:rsidRPr="00887F53" w:rsidRDefault="00DF4F6A" w:rsidP="00887F53">
            <w:pPr>
              <w:pStyle w:val="ListParagraph"/>
              <w:numPr>
                <w:ilvl w:val="0"/>
                <w:numId w:val="14"/>
              </w:numPr>
              <w:ind w:left="360"/>
              <w:rPr>
                <w:bCs/>
                <w:lang w:val="en-US"/>
              </w:rPr>
            </w:pPr>
            <w:r w:rsidRPr="00887F53">
              <w:rPr>
                <w:bCs/>
                <w:lang w:val="en-US"/>
              </w:rPr>
              <w:t xml:space="preserve">The Committee discussed the </w:t>
            </w:r>
            <w:r w:rsidR="00887F53" w:rsidRPr="00887F53">
              <w:rPr>
                <w:bCs/>
                <w:lang w:val="en-US"/>
              </w:rPr>
              <w:t>Involving People Update</w:t>
            </w:r>
            <w:r w:rsidR="00887F53">
              <w:rPr>
                <w:bCs/>
                <w:lang w:val="en-US"/>
              </w:rPr>
              <w:t xml:space="preserve">. The </w:t>
            </w:r>
            <w:r w:rsidRPr="00887F53">
              <w:rPr>
                <w:bCs/>
                <w:lang w:val="en-US"/>
              </w:rPr>
              <w:t>report which highlighted the work of the Involving People Group including developing the role of the lay representatives and the development of a patient involvement officer role which will be submitted for approval.</w:t>
            </w:r>
          </w:p>
          <w:p w:rsidR="00DF4F6A" w:rsidRPr="00887F53" w:rsidRDefault="00DF4F6A" w:rsidP="00887F53">
            <w:pPr>
              <w:pStyle w:val="ListParagraph"/>
              <w:numPr>
                <w:ilvl w:val="0"/>
                <w:numId w:val="14"/>
              </w:numPr>
              <w:ind w:left="360"/>
              <w:rPr>
                <w:bCs/>
                <w:lang w:val="en-US"/>
              </w:rPr>
            </w:pPr>
            <w:r w:rsidRPr="00887F53">
              <w:rPr>
                <w:bCs/>
                <w:lang w:val="en-US"/>
              </w:rPr>
              <w:t xml:space="preserve">The Committee passed on their thanks for a clearly </w:t>
            </w:r>
            <w:r w:rsidR="00887F53" w:rsidRPr="00887F53">
              <w:rPr>
                <w:bCs/>
                <w:lang w:val="en-US"/>
              </w:rPr>
              <w:t xml:space="preserve">Learning and </w:t>
            </w:r>
            <w:proofErr w:type="spellStart"/>
            <w:r w:rsidR="00887F53" w:rsidRPr="00887F53">
              <w:rPr>
                <w:bCs/>
                <w:lang w:val="en-US"/>
              </w:rPr>
              <w:t>Organisational</w:t>
            </w:r>
            <w:proofErr w:type="spellEnd"/>
            <w:r w:rsidR="00887F53" w:rsidRPr="00887F53">
              <w:rPr>
                <w:bCs/>
                <w:lang w:val="en-US"/>
              </w:rPr>
              <w:t xml:space="preserve"> Development Activity Report for 2017/18, noting that this </w:t>
            </w:r>
            <w:r w:rsidRPr="00887F53">
              <w:rPr>
                <w:bCs/>
                <w:lang w:val="en-US"/>
              </w:rPr>
              <w:t>aligned to the leadership framework.</w:t>
            </w:r>
          </w:p>
          <w:p w:rsidR="00775CB5" w:rsidRDefault="00DF4F6A" w:rsidP="00887F53">
            <w:pPr>
              <w:pStyle w:val="ListParagraph"/>
              <w:numPr>
                <w:ilvl w:val="0"/>
                <w:numId w:val="14"/>
              </w:numPr>
              <w:ind w:left="360"/>
              <w:rPr>
                <w:bCs/>
                <w:lang w:val="en-US"/>
              </w:rPr>
            </w:pPr>
            <w:r w:rsidRPr="00887F53">
              <w:rPr>
                <w:bCs/>
                <w:lang w:val="en-US"/>
              </w:rPr>
              <w:t xml:space="preserve">The Committee gave thanks for the informative and detailed </w:t>
            </w:r>
            <w:r w:rsidR="00887F53" w:rsidRPr="00887F53">
              <w:rPr>
                <w:bCs/>
                <w:lang w:val="en-US"/>
              </w:rPr>
              <w:t xml:space="preserve">Workforce Monitoring Report. </w:t>
            </w:r>
            <w:r w:rsidR="00887F53">
              <w:rPr>
                <w:bCs/>
                <w:lang w:val="en-US"/>
              </w:rPr>
              <w:t xml:space="preserve">The Committee </w:t>
            </w:r>
            <w:r w:rsidRPr="00887F53">
              <w:rPr>
                <w:bCs/>
                <w:lang w:val="en-US"/>
              </w:rPr>
              <w:t>requested that further analysis on staff turnover is undertaken and the results fe</w:t>
            </w:r>
            <w:r w:rsidR="00887F53">
              <w:rPr>
                <w:bCs/>
                <w:lang w:val="en-US"/>
              </w:rPr>
              <w:t xml:space="preserve">d back to the January meeting. </w:t>
            </w:r>
            <w:r w:rsidRPr="00887F53">
              <w:rPr>
                <w:bCs/>
                <w:lang w:val="en-US"/>
              </w:rPr>
              <w:t>The Committee also asked for the Equalities Group to discuss</w:t>
            </w:r>
            <w:r w:rsidR="00775CB5">
              <w:rPr>
                <w:bCs/>
                <w:lang w:val="en-US"/>
              </w:rPr>
              <w:t>:</w:t>
            </w:r>
          </w:p>
          <w:p w:rsidR="00775CB5" w:rsidRDefault="00DF4F6A" w:rsidP="00775CB5">
            <w:pPr>
              <w:pStyle w:val="ListParagraph"/>
              <w:numPr>
                <w:ilvl w:val="0"/>
                <w:numId w:val="14"/>
              </w:numPr>
              <w:rPr>
                <w:bCs/>
                <w:lang w:val="en-US"/>
              </w:rPr>
            </w:pPr>
            <w:r w:rsidRPr="00887F53">
              <w:rPr>
                <w:bCs/>
                <w:lang w:val="en-US"/>
              </w:rPr>
              <w:t xml:space="preserve">if the </w:t>
            </w:r>
            <w:r w:rsidRPr="00887F53">
              <w:rPr>
                <w:bCs/>
              </w:rPr>
              <w:t>organisation</w:t>
            </w:r>
            <w:r w:rsidRPr="00887F53">
              <w:rPr>
                <w:bCs/>
                <w:lang w:val="en-US"/>
              </w:rPr>
              <w:t xml:space="preserve"> is comfortable with the 70</w:t>
            </w:r>
            <w:r w:rsidR="00887F53">
              <w:rPr>
                <w:bCs/>
                <w:lang w:val="en-US"/>
              </w:rPr>
              <w:t>/</w:t>
            </w:r>
            <w:r w:rsidRPr="00887F53">
              <w:rPr>
                <w:bCs/>
                <w:lang w:val="en-US"/>
              </w:rPr>
              <w:t>30 gender split</w:t>
            </w:r>
            <w:r w:rsidR="00775CB5">
              <w:rPr>
                <w:bCs/>
                <w:lang w:val="en-US"/>
              </w:rPr>
              <w:t>;</w:t>
            </w:r>
          </w:p>
          <w:p w:rsidR="00775CB5" w:rsidRDefault="00DF4F6A" w:rsidP="00775CB5">
            <w:pPr>
              <w:pStyle w:val="ListParagraph"/>
              <w:numPr>
                <w:ilvl w:val="0"/>
                <w:numId w:val="14"/>
              </w:numPr>
              <w:rPr>
                <w:bCs/>
                <w:lang w:val="en-US"/>
              </w:rPr>
            </w:pPr>
            <w:r w:rsidRPr="00887F53">
              <w:rPr>
                <w:bCs/>
                <w:lang w:val="en-US"/>
              </w:rPr>
              <w:t xml:space="preserve">have a discussion around inclusion and </w:t>
            </w:r>
            <w:r w:rsidR="00887F53">
              <w:rPr>
                <w:bCs/>
                <w:lang w:val="en-US"/>
              </w:rPr>
              <w:t>whether</w:t>
            </w:r>
            <w:r w:rsidRPr="00887F53">
              <w:rPr>
                <w:bCs/>
                <w:lang w:val="en-US"/>
              </w:rPr>
              <w:t xml:space="preserve"> the </w:t>
            </w:r>
            <w:r w:rsidRPr="00887F53">
              <w:rPr>
                <w:bCs/>
              </w:rPr>
              <w:t>organisation</w:t>
            </w:r>
            <w:r w:rsidRPr="00887F53">
              <w:rPr>
                <w:bCs/>
                <w:lang w:val="en-US"/>
              </w:rPr>
              <w:t xml:space="preserve"> is representative of the national population</w:t>
            </w:r>
            <w:r w:rsidR="00775CB5">
              <w:rPr>
                <w:bCs/>
                <w:lang w:val="en-US"/>
              </w:rPr>
              <w:t>; and</w:t>
            </w:r>
          </w:p>
          <w:p w:rsidR="00DF4F6A" w:rsidRPr="00887F53" w:rsidRDefault="00DF4F6A" w:rsidP="00775CB5">
            <w:pPr>
              <w:pStyle w:val="ListParagraph"/>
              <w:numPr>
                <w:ilvl w:val="0"/>
                <w:numId w:val="14"/>
              </w:numPr>
              <w:rPr>
                <w:bCs/>
                <w:lang w:val="en-US"/>
              </w:rPr>
            </w:pPr>
            <w:proofErr w:type="gramStart"/>
            <w:r w:rsidRPr="00887F53">
              <w:rPr>
                <w:bCs/>
                <w:lang w:val="en-US"/>
              </w:rPr>
              <w:t>feed</w:t>
            </w:r>
            <w:proofErr w:type="gramEnd"/>
            <w:r w:rsidRPr="00887F53">
              <w:rPr>
                <w:bCs/>
                <w:lang w:val="en-US"/>
              </w:rPr>
              <w:t xml:space="preserve"> the outcome of that discussion back through </w:t>
            </w:r>
            <w:r w:rsidR="00775CB5">
              <w:rPr>
                <w:bCs/>
                <w:lang w:val="en-US"/>
              </w:rPr>
              <w:t>the Senior Management Team and Partnership Forum</w:t>
            </w:r>
            <w:r w:rsidRPr="00887F53">
              <w:rPr>
                <w:bCs/>
                <w:lang w:val="en-US"/>
              </w:rPr>
              <w:t>.</w:t>
            </w:r>
          </w:p>
          <w:p w:rsidR="00887F53" w:rsidRPr="00887F53" w:rsidRDefault="00887F53" w:rsidP="00887F53">
            <w:pPr>
              <w:rPr>
                <w:rFonts w:ascii="Arial" w:hAnsi="Arial" w:cs="Arial"/>
                <w:bCs/>
                <w:lang w:val="en-US"/>
              </w:rPr>
            </w:pPr>
          </w:p>
        </w:tc>
      </w:tr>
    </w:tbl>
    <w:p w:rsidR="00775CB5" w:rsidRDefault="00775CB5">
      <w:r>
        <w:br w:type="page"/>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25"/>
        <w:gridCol w:w="7904"/>
        <w:gridCol w:w="34"/>
      </w:tblGrid>
      <w:tr w:rsidR="00C06A41" w:rsidRPr="00745A4B" w:rsidTr="00C06A41">
        <w:trPr>
          <w:gridAfter w:val="1"/>
          <w:wAfter w:w="34" w:type="dxa"/>
          <w:trHeight w:val="388"/>
        </w:trPr>
        <w:tc>
          <w:tcPr>
            <w:tcW w:w="1251" w:type="dxa"/>
            <w:shd w:val="clear" w:color="auto" w:fill="0000FF"/>
          </w:tcPr>
          <w:p w:rsidR="00C06A41" w:rsidRPr="00745A4B" w:rsidRDefault="00C06A41" w:rsidP="00416CB7">
            <w:pPr>
              <w:ind w:left="34"/>
              <w:rPr>
                <w:rFonts w:ascii="Arial" w:hAnsi="Arial" w:cs="Arial"/>
                <w:b/>
                <w:bCs/>
                <w:color w:val="FFFFFF"/>
                <w:lang w:val="en-US"/>
              </w:rPr>
            </w:pPr>
            <w:r w:rsidRPr="00745A4B">
              <w:rPr>
                <w:rFonts w:ascii="Arial" w:hAnsi="Arial" w:cs="Arial"/>
                <w:b/>
                <w:bCs/>
                <w:color w:val="FFFFFF"/>
                <w:lang w:val="en-US"/>
              </w:rPr>
              <w:lastRenderedPageBreak/>
              <w:t>Item</w:t>
            </w:r>
          </w:p>
        </w:tc>
        <w:tc>
          <w:tcPr>
            <w:tcW w:w="7929" w:type="dxa"/>
            <w:gridSpan w:val="2"/>
            <w:shd w:val="clear" w:color="auto" w:fill="0000FF"/>
          </w:tcPr>
          <w:p w:rsidR="00C06A41" w:rsidRPr="00745A4B" w:rsidRDefault="00C06A41" w:rsidP="00416CB7">
            <w:pPr>
              <w:rPr>
                <w:rFonts w:ascii="Arial" w:hAnsi="Arial" w:cs="Arial"/>
                <w:b/>
                <w:bCs/>
                <w:color w:val="FFFFFF"/>
                <w:lang w:val="en-US"/>
              </w:rPr>
            </w:pPr>
            <w:r w:rsidRPr="00745A4B">
              <w:rPr>
                <w:rFonts w:ascii="Arial" w:hAnsi="Arial" w:cs="Arial"/>
                <w:b/>
                <w:bCs/>
                <w:color w:val="FFFFFF"/>
                <w:lang w:val="en-US"/>
              </w:rPr>
              <w:t>Details</w:t>
            </w:r>
          </w:p>
        </w:tc>
      </w:tr>
      <w:tr w:rsidR="00DF4F6A" w:rsidRPr="00887F53" w:rsidTr="00C06A41">
        <w:tc>
          <w:tcPr>
            <w:tcW w:w="1276" w:type="dxa"/>
            <w:gridSpan w:val="2"/>
          </w:tcPr>
          <w:p w:rsidR="00DF4F6A" w:rsidRPr="00887F53" w:rsidRDefault="00DF4F6A" w:rsidP="00887F53">
            <w:pPr>
              <w:rPr>
                <w:rFonts w:ascii="Arial" w:hAnsi="Arial" w:cs="Arial"/>
                <w:b/>
                <w:bCs/>
                <w:lang w:val="en-US"/>
              </w:rPr>
            </w:pPr>
            <w:r w:rsidRPr="00887F53">
              <w:rPr>
                <w:rFonts w:ascii="Arial" w:hAnsi="Arial" w:cs="Arial"/>
                <w:b/>
                <w:bCs/>
                <w:lang w:val="en-US"/>
              </w:rPr>
              <w:t>Safe</w:t>
            </w:r>
          </w:p>
          <w:p w:rsidR="00DF4F6A" w:rsidRPr="00887F53" w:rsidRDefault="00DF4F6A" w:rsidP="00887F53">
            <w:pPr>
              <w:rPr>
                <w:rFonts w:ascii="Arial" w:hAnsi="Arial" w:cs="Arial"/>
              </w:rPr>
            </w:pPr>
          </w:p>
          <w:p w:rsidR="00DF4F6A" w:rsidRPr="00887F53" w:rsidRDefault="00DF4F6A" w:rsidP="00887F53">
            <w:pPr>
              <w:rPr>
                <w:rFonts w:ascii="Arial" w:hAnsi="Arial" w:cs="Arial"/>
              </w:rPr>
            </w:pPr>
          </w:p>
          <w:p w:rsidR="00DF4F6A" w:rsidRPr="00887F53" w:rsidRDefault="00DF4F6A" w:rsidP="00887F53">
            <w:pPr>
              <w:rPr>
                <w:rFonts w:ascii="Arial" w:hAnsi="Arial" w:cs="Arial"/>
              </w:rPr>
            </w:pPr>
          </w:p>
          <w:p w:rsidR="00DF4F6A" w:rsidRPr="00887F53" w:rsidRDefault="00DF4F6A" w:rsidP="00887F53">
            <w:pPr>
              <w:rPr>
                <w:rFonts w:ascii="Arial" w:hAnsi="Arial" w:cs="Arial"/>
              </w:rPr>
            </w:pPr>
          </w:p>
          <w:p w:rsidR="00DF4F6A" w:rsidRPr="00887F53" w:rsidRDefault="00DF4F6A" w:rsidP="00887F53">
            <w:pPr>
              <w:rPr>
                <w:rFonts w:ascii="Arial" w:hAnsi="Arial" w:cs="Arial"/>
              </w:rPr>
            </w:pPr>
          </w:p>
          <w:p w:rsidR="00DF4F6A" w:rsidRPr="00887F53" w:rsidRDefault="00DF4F6A" w:rsidP="00887F53">
            <w:pPr>
              <w:rPr>
                <w:rFonts w:ascii="Arial" w:hAnsi="Arial" w:cs="Arial"/>
              </w:rPr>
            </w:pPr>
          </w:p>
          <w:p w:rsidR="00DF4F6A" w:rsidRPr="00887F53" w:rsidRDefault="00DF4F6A" w:rsidP="00887F53">
            <w:pPr>
              <w:rPr>
                <w:rFonts w:ascii="Arial" w:hAnsi="Arial" w:cs="Arial"/>
              </w:rPr>
            </w:pPr>
          </w:p>
        </w:tc>
        <w:tc>
          <w:tcPr>
            <w:tcW w:w="7938" w:type="dxa"/>
            <w:gridSpan w:val="2"/>
          </w:tcPr>
          <w:p w:rsidR="00DF4F6A" w:rsidRPr="00887F53" w:rsidRDefault="00DF4F6A" w:rsidP="00887F53">
            <w:pPr>
              <w:pStyle w:val="ListParagraph"/>
              <w:ind w:left="0"/>
              <w:rPr>
                <w:b/>
                <w:color w:val="000000"/>
              </w:rPr>
            </w:pPr>
            <w:r w:rsidRPr="00887F53">
              <w:rPr>
                <w:b/>
                <w:color w:val="000000"/>
              </w:rPr>
              <w:t>There will be no avoidable injury or harm to people from healthcare they receive, and an appropriate, clean and safe environment will be provided for the delivery of healthcare services at all times.</w:t>
            </w:r>
          </w:p>
          <w:p w:rsidR="00DF4F6A" w:rsidRPr="00887F53" w:rsidRDefault="00DF4F6A" w:rsidP="00887F53">
            <w:pPr>
              <w:pStyle w:val="ListParagraph"/>
              <w:ind w:left="0"/>
              <w:rPr>
                <w:b/>
                <w:color w:val="000000"/>
              </w:rPr>
            </w:pPr>
          </w:p>
          <w:p w:rsidR="00775CB5" w:rsidRDefault="00887F53" w:rsidP="00887F53">
            <w:pPr>
              <w:pStyle w:val="ListParagraph"/>
              <w:numPr>
                <w:ilvl w:val="0"/>
                <w:numId w:val="13"/>
              </w:numPr>
              <w:ind w:left="360"/>
              <w:rPr>
                <w:color w:val="000000"/>
              </w:rPr>
            </w:pPr>
            <w:r>
              <w:rPr>
                <w:color w:val="000000"/>
              </w:rPr>
              <w:t>The C</w:t>
            </w:r>
            <w:r w:rsidR="00DF4F6A" w:rsidRPr="00887F53">
              <w:rPr>
                <w:color w:val="000000"/>
              </w:rPr>
              <w:t xml:space="preserve">ommittee </w:t>
            </w:r>
            <w:r>
              <w:rPr>
                <w:color w:val="000000"/>
              </w:rPr>
              <w:t>was</w:t>
            </w:r>
            <w:r w:rsidR="00DF4F6A" w:rsidRPr="00887F53">
              <w:rPr>
                <w:color w:val="000000"/>
              </w:rPr>
              <w:t xml:space="preserve"> presented with the findings of a complaint and </w:t>
            </w:r>
            <w:r w:rsidR="00775CB5">
              <w:rPr>
                <w:color w:val="000000"/>
              </w:rPr>
              <w:t xml:space="preserve">noted that they </w:t>
            </w:r>
            <w:r w:rsidR="00DF4F6A" w:rsidRPr="00887F53">
              <w:rPr>
                <w:color w:val="000000"/>
              </w:rPr>
              <w:t xml:space="preserve">felt the process had been thorough.  </w:t>
            </w:r>
          </w:p>
          <w:p w:rsidR="00DF4F6A" w:rsidRPr="00775CB5" w:rsidRDefault="00DF4F6A" w:rsidP="00775CB5">
            <w:pPr>
              <w:pStyle w:val="ListParagraph"/>
              <w:numPr>
                <w:ilvl w:val="0"/>
                <w:numId w:val="13"/>
              </w:numPr>
              <w:ind w:left="360"/>
              <w:rPr>
                <w:color w:val="000000"/>
              </w:rPr>
            </w:pPr>
            <w:r w:rsidRPr="00887F53">
              <w:rPr>
                <w:color w:val="000000"/>
              </w:rPr>
              <w:t xml:space="preserve">The </w:t>
            </w:r>
            <w:r w:rsidR="00775CB5">
              <w:rPr>
                <w:color w:val="000000"/>
              </w:rPr>
              <w:t>C</w:t>
            </w:r>
            <w:r w:rsidRPr="00775CB5">
              <w:rPr>
                <w:color w:val="000000"/>
              </w:rPr>
              <w:t xml:space="preserve">ommittee also reviewed the quarterly complaints report and requested </w:t>
            </w:r>
            <w:r w:rsidR="00775CB5">
              <w:rPr>
                <w:color w:val="000000"/>
              </w:rPr>
              <w:t>that the next</w:t>
            </w:r>
            <w:r w:rsidRPr="00775CB5">
              <w:rPr>
                <w:color w:val="000000"/>
              </w:rPr>
              <w:t xml:space="preserve"> report</w:t>
            </w:r>
            <w:r w:rsidR="00775CB5">
              <w:rPr>
                <w:color w:val="000000"/>
              </w:rPr>
              <w:t>, due</w:t>
            </w:r>
            <w:r w:rsidRPr="00775CB5">
              <w:rPr>
                <w:color w:val="000000"/>
              </w:rPr>
              <w:t xml:space="preserve"> in January</w:t>
            </w:r>
            <w:r w:rsidR="00775CB5">
              <w:rPr>
                <w:color w:val="000000"/>
              </w:rPr>
              <w:t>,</w:t>
            </w:r>
            <w:r w:rsidRPr="00775CB5">
              <w:rPr>
                <w:color w:val="000000"/>
              </w:rPr>
              <w:t xml:space="preserve"> looks at trends of upheld and partially upheld complaints</w:t>
            </w:r>
            <w:r w:rsidR="00775CB5">
              <w:rPr>
                <w:color w:val="000000"/>
              </w:rPr>
              <w:t xml:space="preserve">, as well as </w:t>
            </w:r>
            <w:r w:rsidRPr="00775CB5">
              <w:rPr>
                <w:color w:val="000000"/>
              </w:rPr>
              <w:t>includ</w:t>
            </w:r>
            <w:r w:rsidR="00775CB5">
              <w:rPr>
                <w:color w:val="000000"/>
              </w:rPr>
              <w:t>ing</w:t>
            </w:r>
            <w:r w:rsidRPr="00775CB5">
              <w:rPr>
                <w:color w:val="000000"/>
              </w:rPr>
              <w:t xml:space="preserve"> conversion analysis.</w:t>
            </w:r>
          </w:p>
          <w:p w:rsidR="00DF4F6A" w:rsidRPr="00887F53" w:rsidRDefault="00DF4F6A" w:rsidP="00887F53">
            <w:pPr>
              <w:pStyle w:val="ListParagraph"/>
              <w:numPr>
                <w:ilvl w:val="0"/>
                <w:numId w:val="13"/>
              </w:numPr>
              <w:ind w:left="360"/>
              <w:rPr>
                <w:color w:val="000000"/>
              </w:rPr>
            </w:pPr>
            <w:r w:rsidRPr="00887F53">
              <w:rPr>
                <w:color w:val="000000"/>
              </w:rPr>
              <w:t>The Committee approved the Staff Governance Report.</w:t>
            </w:r>
          </w:p>
          <w:p w:rsidR="00DF4F6A" w:rsidRPr="00887F53" w:rsidRDefault="00DF4F6A" w:rsidP="00887F53">
            <w:pPr>
              <w:rPr>
                <w:rFonts w:ascii="Arial" w:hAnsi="Arial" w:cs="Arial"/>
                <w:bCs/>
              </w:rPr>
            </w:pPr>
          </w:p>
        </w:tc>
      </w:tr>
      <w:tr w:rsidR="00DF4F6A" w:rsidRPr="00887F53" w:rsidTr="00C06A41">
        <w:tc>
          <w:tcPr>
            <w:tcW w:w="1276" w:type="dxa"/>
            <w:gridSpan w:val="2"/>
          </w:tcPr>
          <w:p w:rsidR="00DF4F6A" w:rsidRPr="00887F53" w:rsidRDefault="00DF4F6A" w:rsidP="00887F53">
            <w:pPr>
              <w:rPr>
                <w:rFonts w:ascii="Arial" w:hAnsi="Arial" w:cs="Arial"/>
                <w:b/>
                <w:lang w:val="en-US"/>
              </w:rPr>
            </w:pPr>
            <w:r w:rsidRPr="00887F53">
              <w:rPr>
                <w:rFonts w:ascii="Arial" w:hAnsi="Arial" w:cs="Arial"/>
                <w:b/>
                <w:lang w:val="en-US"/>
              </w:rPr>
              <w:t>Effective</w:t>
            </w:r>
          </w:p>
          <w:p w:rsidR="00DF4F6A" w:rsidRPr="00887F53" w:rsidRDefault="00DF4F6A" w:rsidP="00887F53">
            <w:pPr>
              <w:rPr>
                <w:rFonts w:ascii="Arial" w:hAnsi="Arial" w:cs="Arial"/>
              </w:rPr>
            </w:pPr>
          </w:p>
          <w:p w:rsidR="00DF4F6A" w:rsidRPr="00887F53" w:rsidRDefault="00DF4F6A" w:rsidP="00887F53">
            <w:pPr>
              <w:rPr>
                <w:rFonts w:ascii="Arial" w:hAnsi="Arial" w:cs="Arial"/>
              </w:rPr>
            </w:pPr>
          </w:p>
          <w:p w:rsidR="00DF4F6A" w:rsidRPr="00887F53" w:rsidRDefault="00DF4F6A" w:rsidP="00887F53">
            <w:pPr>
              <w:rPr>
                <w:rFonts w:ascii="Arial" w:hAnsi="Arial" w:cs="Arial"/>
              </w:rPr>
            </w:pPr>
          </w:p>
        </w:tc>
        <w:tc>
          <w:tcPr>
            <w:tcW w:w="7938" w:type="dxa"/>
            <w:gridSpan w:val="2"/>
          </w:tcPr>
          <w:p w:rsidR="00DF4F6A" w:rsidRPr="00887F53" w:rsidRDefault="00DF4F6A" w:rsidP="00887F53">
            <w:pPr>
              <w:pStyle w:val="ListParagraph"/>
              <w:ind w:left="0"/>
              <w:rPr>
                <w:b/>
                <w:color w:val="000000"/>
              </w:rPr>
            </w:pPr>
            <w:r w:rsidRPr="00887F53">
              <w:rPr>
                <w:b/>
                <w:color w:val="000000"/>
              </w:rPr>
              <w:t>The most appropriate treatments, interventions, support and services will be provided at the right time to everyone who will benefit, and wasteful or harmful variation will be eradicated.</w:t>
            </w:r>
          </w:p>
          <w:p w:rsidR="00DF4F6A" w:rsidRPr="00887F53" w:rsidRDefault="00DF4F6A" w:rsidP="00887F53">
            <w:pPr>
              <w:pStyle w:val="ListParagraph"/>
              <w:ind w:left="0"/>
              <w:rPr>
                <w:b/>
                <w:color w:val="000000"/>
              </w:rPr>
            </w:pPr>
          </w:p>
          <w:p w:rsidR="00DF4F6A" w:rsidRPr="00887F53" w:rsidRDefault="00775CB5" w:rsidP="00887F53">
            <w:pPr>
              <w:pStyle w:val="ListParagraph"/>
              <w:numPr>
                <w:ilvl w:val="0"/>
                <w:numId w:val="12"/>
              </w:numPr>
              <w:ind w:left="360"/>
              <w:rPr>
                <w:lang w:val="en-US"/>
              </w:rPr>
            </w:pPr>
            <w:r>
              <w:rPr>
                <w:lang w:val="en-US"/>
              </w:rPr>
              <w:t>A six-</w:t>
            </w:r>
            <w:r w:rsidR="00DF4F6A" w:rsidRPr="00887F53">
              <w:rPr>
                <w:lang w:val="en-US"/>
              </w:rPr>
              <w:t xml:space="preserve">month report on medical appraisal and revalidation was received from the. It was noted that everything is on target and the </w:t>
            </w:r>
            <w:r w:rsidRPr="00887F53">
              <w:rPr>
                <w:lang w:val="en-US"/>
              </w:rPr>
              <w:t xml:space="preserve">Board Appraisal Lead </w:t>
            </w:r>
            <w:proofErr w:type="spellStart"/>
            <w:r w:rsidR="00DF4F6A" w:rsidRPr="00887F53">
              <w:rPr>
                <w:lang w:val="en-US"/>
              </w:rPr>
              <w:t>Lead</w:t>
            </w:r>
            <w:proofErr w:type="spellEnd"/>
            <w:r w:rsidR="00DF4F6A" w:rsidRPr="00887F53">
              <w:rPr>
                <w:lang w:val="en-US"/>
              </w:rPr>
              <w:t xml:space="preserve"> will be invited to attend the January meeting.</w:t>
            </w:r>
          </w:p>
          <w:p w:rsidR="00DF4F6A" w:rsidRPr="00887F53" w:rsidRDefault="00DF4F6A" w:rsidP="00887F53">
            <w:pPr>
              <w:pStyle w:val="ListParagraph"/>
              <w:numPr>
                <w:ilvl w:val="0"/>
                <w:numId w:val="12"/>
              </w:numPr>
              <w:ind w:left="360"/>
              <w:rPr>
                <w:lang w:val="en-US"/>
              </w:rPr>
            </w:pPr>
            <w:r w:rsidRPr="00887F53">
              <w:rPr>
                <w:lang w:val="en-US"/>
              </w:rPr>
              <w:t>A</w:t>
            </w:r>
            <w:r w:rsidR="00887F53">
              <w:rPr>
                <w:lang w:val="en-US"/>
              </w:rPr>
              <w:t xml:space="preserve"> verbal u</w:t>
            </w:r>
            <w:r w:rsidRPr="00887F53">
              <w:rPr>
                <w:lang w:val="en-US"/>
              </w:rPr>
              <w:t xml:space="preserve">pdate on the Communications </w:t>
            </w:r>
            <w:r w:rsidR="00887F53">
              <w:rPr>
                <w:lang w:val="en-US"/>
              </w:rPr>
              <w:t>activity</w:t>
            </w:r>
            <w:r w:rsidRPr="00887F53">
              <w:rPr>
                <w:lang w:val="en-US"/>
              </w:rPr>
              <w:t xml:space="preserve"> was provided</w:t>
            </w:r>
            <w:r w:rsidR="00887F53">
              <w:rPr>
                <w:lang w:val="en-US"/>
              </w:rPr>
              <w:t xml:space="preserve">. A </w:t>
            </w:r>
            <w:r w:rsidRPr="00887F53">
              <w:rPr>
                <w:lang w:val="en-US"/>
              </w:rPr>
              <w:t>formal report will be submitted to the January meeting.</w:t>
            </w:r>
          </w:p>
          <w:p w:rsidR="00DF4F6A" w:rsidRPr="00887F53" w:rsidRDefault="00DF4F6A" w:rsidP="00887F53">
            <w:pPr>
              <w:ind w:left="115"/>
              <w:rPr>
                <w:rFonts w:ascii="Arial" w:hAnsi="Arial" w:cs="Arial"/>
                <w:b/>
              </w:rPr>
            </w:pPr>
          </w:p>
        </w:tc>
      </w:tr>
    </w:tbl>
    <w:p w:rsidR="00DF4F6A" w:rsidRDefault="00DF4F6A" w:rsidP="00DF4F6A">
      <w:pPr>
        <w:rPr>
          <w:b/>
          <w:u w:val="single"/>
        </w:rPr>
      </w:pPr>
    </w:p>
    <w:p w:rsidR="00DF4F6A" w:rsidRDefault="00DF4F6A" w:rsidP="00DF4F6A">
      <w:pPr>
        <w:rPr>
          <w:b/>
          <w:u w:val="single"/>
        </w:rPr>
      </w:pPr>
    </w:p>
    <w:p w:rsidR="00DF4F6A" w:rsidRPr="00887F53" w:rsidRDefault="00DF4F6A" w:rsidP="00DF4F6A">
      <w:pPr>
        <w:rPr>
          <w:rFonts w:ascii="Arial" w:hAnsi="Arial" w:cs="Arial"/>
          <w:bCs/>
        </w:rPr>
      </w:pPr>
      <w:r w:rsidRPr="00887F53">
        <w:rPr>
          <w:rFonts w:ascii="Arial" w:hAnsi="Arial" w:cs="Arial"/>
          <w:bCs/>
        </w:rPr>
        <w:t>The next meeting is scheduled for</w:t>
      </w:r>
      <w:r w:rsidR="00887F53">
        <w:rPr>
          <w:rFonts w:ascii="Arial" w:hAnsi="Arial" w:cs="Arial"/>
          <w:bCs/>
        </w:rPr>
        <w:t xml:space="preserve"> </w:t>
      </w:r>
      <w:r w:rsidRPr="00887F53">
        <w:rPr>
          <w:rFonts w:ascii="Arial" w:hAnsi="Arial" w:cs="Arial"/>
          <w:bCs/>
        </w:rPr>
        <w:t>Tuesday 30 January 201</w:t>
      </w:r>
      <w:r w:rsidR="00775CB5">
        <w:rPr>
          <w:rFonts w:ascii="Arial" w:hAnsi="Arial" w:cs="Arial"/>
          <w:bCs/>
        </w:rPr>
        <w:t>8</w:t>
      </w:r>
      <w:r w:rsidR="00887F53">
        <w:rPr>
          <w:rFonts w:ascii="Arial" w:hAnsi="Arial" w:cs="Arial"/>
          <w:bCs/>
        </w:rPr>
        <w:t>.</w:t>
      </w:r>
    </w:p>
    <w:p w:rsidR="00DF4F6A" w:rsidRPr="00887F53" w:rsidRDefault="00DF4F6A" w:rsidP="00DF4F6A">
      <w:pPr>
        <w:rPr>
          <w:rFonts w:ascii="Arial" w:hAnsi="Arial" w:cs="Arial"/>
          <w:bCs/>
        </w:rPr>
      </w:pPr>
    </w:p>
    <w:p w:rsidR="00DF4F6A" w:rsidRPr="00887F53" w:rsidRDefault="00DF4F6A" w:rsidP="00DF4F6A">
      <w:pPr>
        <w:rPr>
          <w:rFonts w:ascii="Arial" w:hAnsi="Arial" w:cs="Arial"/>
          <w:b/>
          <w:bCs/>
        </w:rPr>
      </w:pPr>
      <w:r w:rsidRPr="00887F53">
        <w:rPr>
          <w:rFonts w:ascii="Arial" w:hAnsi="Arial" w:cs="Arial"/>
          <w:b/>
          <w:bCs/>
        </w:rPr>
        <w:t>Kay Harriman</w:t>
      </w:r>
    </w:p>
    <w:p w:rsidR="00DF4F6A" w:rsidRPr="00887F53" w:rsidRDefault="00DF4F6A" w:rsidP="00DF4F6A">
      <w:pPr>
        <w:rPr>
          <w:rFonts w:ascii="Arial" w:hAnsi="Arial" w:cs="Arial"/>
          <w:b/>
          <w:bCs/>
        </w:rPr>
      </w:pPr>
      <w:r w:rsidRPr="00887F53">
        <w:rPr>
          <w:rFonts w:ascii="Arial" w:hAnsi="Arial" w:cs="Arial"/>
          <w:b/>
          <w:bCs/>
        </w:rPr>
        <w:t>Non Executive Director</w:t>
      </w:r>
    </w:p>
    <w:p w:rsidR="00887F53" w:rsidRPr="00887F53" w:rsidRDefault="00887F53" w:rsidP="00DF4F6A">
      <w:pPr>
        <w:rPr>
          <w:rFonts w:ascii="Arial" w:hAnsi="Arial" w:cs="Arial"/>
          <w:b/>
          <w:bCs/>
        </w:rPr>
      </w:pPr>
      <w:r w:rsidRPr="00887F53">
        <w:rPr>
          <w:rFonts w:ascii="Arial" w:hAnsi="Arial" w:cs="Arial"/>
          <w:b/>
          <w:bCs/>
        </w:rPr>
        <w:t>10 October 2017</w:t>
      </w:r>
    </w:p>
    <w:p w:rsidR="00DF4F6A" w:rsidRPr="00887F53" w:rsidRDefault="00DF4F6A" w:rsidP="00DF4F6A">
      <w:pPr>
        <w:rPr>
          <w:rFonts w:ascii="Arial" w:hAnsi="Arial" w:cs="Arial"/>
          <w:b/>
          <w:bCs/>
        </w:rPr>
      </w:pPr>
    </w:p>
    <w:p w:rsidR="00DF4F6A" w:rsidRPr="00887F53" w:rsidRDefault="00887F53" w:rsidP="00DF4F6A">
      <w:pPr>
        <w:rPr>
          <w:rFonts w:ascii="Arial" w:hAnsi="Arial" w:cs="Arial"/>
          <w:b/>
          <w:bCs/>
        </w:rPr>
      </w:pPr>
      <w:r w:rsidRPr="00887F53">
        <w:rPr>
          <w:rFonts w:ascii="Arial" w:hAnsi="Arial" w:cs="Arial"/>
          <w:b/>
          <w:bCs/>
        </w:rPr>
        <w:t>(</w:t>
      </w:r>
      <w:r w:rsidR="00DF4F6A" w:rsidRPr="00887F53">
        <w:rPr>
          <w:rFonts w:ascii="Arial" w:hAnsi="Arial" w:cs="Arial"/>
          <w:b/>
          <w:bCs/>
        </w:rPr>
        <w:t>David Miller</w:t>
      </w:r>
      <w:r w:rsidRPr="00887F53">
        <w:rPr>
          <w:rFonts w:ascii="Arial" w:hAnsi="Arial" w:cs="Arial"/>
          <w:b/>
          <w:bCs/>
        </w:rPr>
        <w:t xml:space="preserve">, </w:t>
      </w:r>
      <w:r w:rsidR="00DF4F6A" w:rsidRPr="00887F53">
        <w:rPr>
          <w:rFonts w:ascii="Arial" w:hAnsi="Arial" w:cs="Arial"/>
          <w:b/>
          <w:bCs/>
        </w:rPr>
        <w:t>Head of Human Resources</w:t>
      </w:r>
      <w:r w:rsidRPr="00887F53">
        <w:rPr>
          <w:rFonts w:ascii="Arial" w:hAnsi="Arial" w:cs="Arial"/>
          <w:b/>
          <w:bCs/>
        </w:rPr>
        <w:t>)</w:t>
      </w:r>
    </w:p>
    <w:p w:rsidR="00DF4F6A" w:rsidRPr="00887F53" w:rsidRDefault="00DF4F6A" w:rsidP="00DF4F6A">
      <w:pPr>
        <w:rPr>
          <w:rFonts w:ascii="Arial" w:hAnsi="Arial" w:cs="Arial"/>
          <w:bCs/>
        </w:rPr>
      </w:pPr>
    </w:p>
    <w:p w:rsidR="00DF4F6A" w:rsidRPr="00887F53" w:rsidRDefault="00DF4F6A" w:rsidP="00DF4F6A">
      <w:pPr>
        <w:rPr>
          <w:rFonts w:ascii="Arial" w:hAnsi="Arial" w:cs="Arial"/>
          <w:bCs/>
        </w:rPr>
      </w:pPr>
    </w:p>
    <w:p w:rsidR="00DF4F6A" w:rsidRPr="00887F53" w:rsidRDefault="00DF4F6A" w:rsidP="00506517">
      <w:pPr>
        <w:ind w:right="183"/>
        <w:rPr>
          <w:rFonts w:ascii="Arial" w:hAnsi="Arial" w:cs="Arial"/>
        </w:rPr>
      </w:pPr>
    </w:p>
    <w:sectPr w:rsidR="00DF4F6A" w:rsidRPr="00887F53" w:rsidSect="00775CB5">
      <w:footerReference w:type="default" r:id="rId8"/>
      <w:footerReference w:type="first" r:id="rId9"/>
      <w:pgSz w:w="11906" w:h="16838"/>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F53" w:rsidRDefault="00887F53">
      <w:r>
        <w:separator/>
      </w:r>
    </w:p>
  </w:endnote>
  <w:endnote w:type="continuationSeparator" w:id="0">
    <w:p w:rsidR="00887F53" w:rsidRDefault="00887F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CB5" w:rsidRDefault="00775CB5" w:rsidP="00513DB0">
    <w:pPr>
      <w:ind w:left="-540"/>
      <w:jc w:val="center"/>
      <w:rPr>
        <w:rStyle w:val="PageNumber"/>
        <w:rFonts w:ascii="Arial" w:hAnsi="Arial" w:cs="Arial"/>
      </w:rPr>
    </w:pPr>
    <w:r>
      <w:rPr>
        <w:rStyle w:val="PageNumber"/>
        <w:rFonts w:ascii="Arial" w:hAnsi="Arial" w:cs="Arial"/>
      </w:rPr>
      <w:t>_______________________________________________________________________</w:t>
    </w:r>
  </w:p>
  <w:p w:rsidR="00887F53" w:rsidRPr="00513DB0" w:rsidRDefault="00893D72" w:rsidP="00513DB0">
    <w:pPr>
      <w:ind w:left="-540"/>
      <w:jc w:val="center"/>
      <w:rPr>
        <w:rFonts w:ascii="Arial" w:hAnsi="Arial" w:cs="Arial"/>
        <w:sz w:val="20"/>
        <w:szCs w:val="20"/>
      </w:rPr>
    </w:pPr>
    <w:r w:rsidRPr="00513DB0">
      <w:rPr>
        <w:rStyle w:val="PageNumber"/>
        <w:rFonts w:ascii="Arial" w:hAnsi="Arial" w:cs="Arial"/>
      </w:rPr>
      <w:fldChar w:fldCharType="begin"/>
    </w:r>
    <w:r w:rsidR="00887F53" w:rsidRPr="00513DB0">
      <w:rPr>
        <w:rStyle w:val="PageNumber"/>
        <w:rFonts w:ascii="Arial" w:hAnsi="Arial" w:cs="Arial"/>
      </w:rPr>
      <w:instrText xml:space="preserve"> PAGE </w:instrText>
    </w:r>
    <w:r w:rsidRPr="00513DB0">
      <w:rPr>
        <w:rStyle w:val="PageNumber"/>
        <w:rFonts w:ascii="Arial" w:hAnsi="Arial" w:cs="Arial"/>
      </w:rPr>
      <w:fldChar w:fldCharType="separate"/>
    </w:r>
    <w:r w:rsidR="00C06A41">
      <w:rPr>
        <w:rStyle w:val="PageNumber"/>
        <w:rFonts w:ascii="Arial" w:hAnsi="Arial" w:cs="Arial"/>
        <w:noProof/>
      </w:rPr>
      <w:t>2</w:t>
    </w:r>
    <w:r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CB5" w:rsidRPr="00513DB0" w:rsidRDefault="00775CB5" w:rsidP="00775CB5">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893D72" w:rsidRPr="00513DB0">
      <w:rPr>
        <w:rStyle w:val="PageNumber"/>
        <w:rFonts w:ascii="Arial" w:hAnsi="Arial" w:cs="Arial"/>
      </w:rPr>
      <w:fldChar w:fldCharType="begin"/>
    </w:r>
    <w:r w:rsidRPr="00513DB0">
      <w:rPr>
        <w:rStyle w:val="PageNumber"/>
        <w:rFonts w:ascii="Arial" w:hAnsi="Arial" w:cs="Arial"/>
      </w:rPr>
      <w:instrText xml:space="preserve"> PAGE </w:instrText>
    </w:r>
    <w:r w:rsidR="00893D72" w:rsidRPr="00513DB0">
      <w:rPr>
        <w:rStyle w:val="PageNumber"/>
        <w:rFonts w:ascii="Arial" w:hAnsi="Arial" w:cs="Arial"/>
      </w:rPr>
      <w:fldChar w:fldCharType="separate"/>
    </w:r>
    <w:r w:rsidR="00C06A41">
      <w:rPr>
        <w:rStyle w:val="PageNumber"/>
        <w:rFonts w:ascii="Arial" w:hAnsi="Arial" w:cs="Arial"/>
        <w:noProof/>
      </w:rPr>
      <w:t>1</w:t>
    </w:r>
    <w:r w:rsidR="00893D72" w:rsidRPr="00513DB0">
      <w:rPr>
        <w:rStyle w:val="PageNumber"/>
        <w:rFonts w:ascii="Arial" w:hAnsi="Arial" w:cs="Arial"/>
      </w:rPr>
      <w:fldChar w:fldCharType="end"/>
    </w:r>
  </w:p>
  <w:p w:rsidR="00775CB5" w:rsidRDefault="00775CB5" w:rsidP="00775CB5">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775CB5" w:rsidRPr="008F5DB5" w:rsidRDefault="00775CB5" w:rsidP="00775CB5">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775CB5" w:rsidRPr="00775CB5" w:rsidRDefault="00775CB5" w:rsidP="00775CB5">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F53" w:rsidRDefault="00887F53">
      <w:r>
        <w:separator/>
      </w:r>
    </w:p>
  </w:footnote>
  <w:footnote w:type="continuationSeparator" w:id="0">
    <w:p w:rsidR="00887F53" w:rsidRDefault="00887F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C756ABF"/>
    <w:multiLevelType w:val="hybridMultilevel"/>
    <w:tmpl w:val="CD060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82E2071"/>
    <w:multiLevelType w:val="hybridMultilevel"/>
    <w:tmpl w:val="7E3AFF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9F21CEC"/>
    <w:multiLevelType w:val="hybridMultilevel"/>
    <w:tmpl w:val="6228F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8"/>
  </w:num>
  <w:num w:numId="2">
    <w:abstractNumId w:val="12"/>
  </w:num>
  <w:num w:numId="3">
    <w:abstractNumId w:val="6"/>
  </w:num>
  <w:num w:numId="4">
    <w:abstractNumId w:val="0"/>
  </w:num>
  <w:num w:numId="5">
    <w:abstractNumId w:val="2"/>
  </w:num>
  <w:num w:numId="6">
    <w:abstractNumId w:val="10"/>
  </w:num>
  <w:num w:numId="7">
    <w:abstractNumId w:val="13"/>
  </w:num>
  <w:num w:numId="8">
    <w:abstractNumId w:val="1"/>
  </w:num>
  <w:num w:numId="9">
    <w:abstractNumId w:val="11"/>
  </w:num>
  <w:num w:numId="10">
    <w:abstractNumId w:val="7"/>
  </w:num>
  <w:num w:numId="11">
    <w:abstractNumId w:val="9"/>
  </w:num>
  <w:num w:numId="12">
    <w:abstractNumId w:val="3"/>
  </w:num>
  <w:num w:numId="13">
    <w:abstractNumId w:val="5"/>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75AAA"/>
    <w:rsid w:val="000A0F2E"/>
    <w:rsid w:val="000B5923"/>
    <w:rsid w:val="001175E5"/>
    <w:rsid w:val="0014213C"/>
    <w:rsid w:val="00162874"/>
    <w:rsid w:val="001849E6"/>
    <w:rsid w:val="001A624A"/>
    <w:rsid w:val="001B3FD3"/>
    <w:rsid w:val="00200176"/>
    <w:rsid w:val="00233E6E"/>
    <w:rsid w:val="00362A4C"/>
    <w:rsid w:val="003E423D"/>
    <w:rsid w:val="003F19CA"/>
    <w:rsid w:val="004512CE"/>
    <w:rsid w:val="00463DB0"/>
    <w:rsid w:val="00506517"/>
    <w:rsid w:val="00513DB0"/>
    <w:rsid w:val="00590B0A"/>
    <w:rsid w:val="006A1357"/>
    <w:rsid w:val="006D232B"/>
    <w:rsid w:val="00745A4B"/>
    <w:rsid w:val="00775CB5"/>
    <w:rsid w:val="00815350"/>
    <w:rsid w:val="008553E2"/>
    <w:rsid w:val="00867E1A"/>
    <w:rsid w:val="00882F92"/>
    <w:rsid w:val="00887F53"/>
    <w:rsid w:val="00893D72"/>
    <w:rsid w:val="008C26A2"/>
    <w:rsid w:val="00952AC2"/>
    <w:rsid w:val="00992558"/>
    <w:rsid w:val="00A2577B"/>
    <w:rsid w:val="00C06A41"/>
    <w:rsid w:val="00C956E2"/>
    <w:rsid w:val="00D346C3"/>
    <w:rsid w:val="00D92AA6"/>
    <w:rsid w:val="00DF4F6A"/>
    <w:rsid w:val="00E95856"/>
    <w:rsid w:val="00EB7C07"/>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2017-10-17T12:48:00Z</dcterms:created>
  <dcterms:modified xsi:type="dcterms:W3CDTF">2017-10-18T10:13:00Z</dcterms:modified>
</cp:coreProperties>
</file>