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5B0B09" w:rsidP="00895207">
      <w:pPr>
        <w:shd w:val="clear" w:color="auto" w:fill="E0E0E0"/>
        <w:spacing w:after="120"/>
        <w:jc w:val="center"/>
        <w:rPr>
          <w:rFonts w:ascii="Arial" w:hAnsi="Arial" w:cs="Arial"/>
          <w:b/>
          <w:sz w:val="32"/>
          <w:szCs w:val="32"/>
        </w:rPr>
      </w:pPr>
      <w:r>
        <w:rPr>
          <w:rFonts w:ascii="Arial" w:hAnsi="Arial" w:cs="Arial"/>
          <w:b/>
          <w:sz w:val="32"/>
          <w:szCs w:val="32"/>
        </w:rPr>
        <w:t xml:space="preserve">August </w:t>
      </w:r>
      <w:r w:rsidR="00E747C2">
        <w:rPr>
          <w:rFonts w:ascii="Arial" w:hAnsi="Arial" w:cs="Arial"/>
          <w:b/>
          <w:sz w:val="32"/>
          <w:szCs w:val="32"/>
        </w:rPr>
        <w:t>2017 data</w:t>
      </w:r>
    </w:p>
    <w:p w:rsidR="00E747C2" w:rsidRDefault="00616FB3" w:rsidP="00F0136C">
      <w:pPr>
        <w:jc w:val="center"/>
        <w:rPr>
          <w:rFonts w:ascii="Arial" w:hAnsi="Arial" w:cs="Arial"/>
          <w:b/>
        </w:rPr>
      </w:pPr>
      <w:r w:rsidRPr="00616FB3">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50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747837" w:rsidRDefault="00747837"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747837" w:rsidRPr="007A2C90" w:rsidRDefault="00747837" w:rsidP="00210253">
                  <w:pPr>
                    <w:pStyle w:val="ListParagraph"/>
                    <w:numPr>
                      <w:ilvl w:val="0"/>
                      <w:numId w:val="42"/>
                    </w:numPr>
                    <w:rPr>
                      <w:rFonts w:ascii="Arial" w:hAnsi="Arial" w:cs="Arial"/>
                      <w:sz w:val="20"/>
                      <w:szCs w:val="20"/>
                    </w:rPr>
                  </w:pPr>
                  <w:r w:rsidRPr="009107A6">
                    <w:rPr>
                      <w:rFonts w:ascii="Arial" w:hAnsi="Arial" w:cs="Arial"/>
                      <w:b/>
                      <w:i/>
                      <w:iCs/>
                      <w:sz w:val="22"/>
                      <w:szCs w:val="22"/>
                    </w:rPr>
                    <w:t>Staphylococcus aureus</w:t>
                  </w:r>
                  <w:r w:rsidRPr="009107A6">
                    <w:rPr>
                      <w:rFonts w:ascii="Arial" w:hAnsi="Arial" w:cs="Arial"/>
                      <w:b/>
                      <w:sz w:val="22"/>
                      <w:szCs w:val="22"/>
                    </w:rPr>
                    <w:t xml:space="preserve"> Bacteraemia</w:t>
                  </w:r>
                  <w:r>
                    <w:rPr>
                      <w:rFonts w:ascii="Arial" w:hAnsi="Arial" w:cs="Arial"/>
                      <w:sz w:val="22"/>
                      <w:szCs w:val="22"/>
                    </w:rPr>
                    <w:t>- 3 SAB case</w:t>
                  </w:r>
                  <w:r w:rsidRPr="009107A6">
                    <w:rPr>
                      <w:rFonts w:ascii="Arial" w:hAnsi="Arial" w:cs="Arial"/>
                      <w:sz w:val="22"/>
                      <w:szCs w:val="22"/>
                    </w:rPr>
                    <w:t xml:space="preserve"> to report in </w:t>
                  </w:r>
                  <w:r>
                    <w:rPr>
                      <w:rFonts w:ascii="Arial" w:hAnsi="Arial" w:cs="Arial"/>
                      <w:sz w:val="22"/>
                      <w:szCs w:val="22"/>
                    </w:rPr>
                    <w:t>August.</w:t>
                  </w:r>
                </w:p>
                <w:p w:rsidR="00747837" w:rsidRPr="009107A6" w:rsidRDefault="00747837" w:rsidP="007A2C90">
                  <w:pPr>
                    <w:pStyle w:val="ListParagraph"/>
                    <w:rPr>
                      <w:rFonts w:ascii="Arial" w:hAnsi="Arial" w:cs="Arial"/>
                      <w:sz w:val="20"/>
                      <w:szCs w:val="20"/>
                    </w:rPr>
                  </w:pPr>
                  <w:r w:rsidRPr="009107A6">
                    <w:rPr>
                      <w:rFonts w:ascii="Arial" w:hAnsi="Arial" w:cs="Arial"/>
                      <w:sz w:val="22"/>
                      <w:szCs w:val="22"/>
                    </w:rPr>
                    <w:t xml:space="preserve">Routine Enhanced SAB Investigation </w:t>
                  </w:r>
                  <w:r>
                    <w:rPr>
                      <w:rFonts w:ascii="Arial" w:hAnsi="Arial" w:cs="Arial"/>
                      <w:sz w:val="22"/>
                      <w:szCs w:val="22"/>
                    </w:rPr>
                    <w:t>identified the sources as-</w:t>
                  </w:r>
                </w:p>
                <w:p w:rsidR="00747837" w:rsidRDefault="00747837" w:rsidP="007A2C90">
                  <w:pPr>
                    <w:pStyle w:val="ListParagraph"/>
                    <w:rPr>
                      <w:rFonts w:ascii="Arial" w:hAnsi="Arial" w:cs="Arial"/>
                      <w:sz w:val="22"/>
                      <w:szCs w:val="22"/>
                    </w:rPr>
                  </w:pPr>
                  <w:r>
                    <w:rPr>
                      <w:rFonts w:ascii="Arial" w:hAnsi="Arial" w:cs="Arial"/>
                      <w:b/>
                      <w:i/>
                      <w:iCs/>
                      <w:sz w:val="22"/>
                      <w:szCs w:val="22"/>
                    </w:rPr>
                    <w:t>ICU2</w:t>
                  </w:r>
                  <w:r w:rsidRPr="007A2C90">
                    <w:rPr>
                      <w:rFonts w:ascii="Arial" w:hAnsi="Arial" w:cs="Arial"/>
                      <w:sz w:val="22"/>
                      <w:szCs w:val="22"/>
                    </w:rPr>
                    <w:t>-</w:t>
                  </w:r>
                  <w:r>
                    <w:rPr>
                      <w:rFonts w:ascii="Arial" w:hAnsi="Arial" w:cs="Arial"/>
                      <w:sz w:val="22"/>
                      <w:szCs w:val="22"/>
                    </w:rPr>
                    <w:t xml:space="preserve"> Arterial line</w:t>
                  </w:r>
                </w:p>
                <w:p w:rsidR="00747837" w:rsidRDefault="00747837" w:rsidP="007A2C90">
                  <w:pPr>
                    <w:pStyle w:val="ListParagraph"/>
                    <w:rPr>
                      <w:rFonts w:ascii="Arial" w:hAnsi="Arial" w:cs="Arial"/>
                      <w:sz w:val="22"/>
                      <w:szCs w:val="22"/>
                    </w:rPr>
                  </w:pPr>
                  <w:r>
                    <w:rPr>
                      <w:rFonts w:ascii="Arial" w:hAnsi="Arial" w:cs="Arial"/>
                      <w:b/>
                      <w:i/>
                      <w:iCs/>
                      <w:sz w:val="22"/>
                      <w:szCs w:val="22"/>
                    </w:rPr>
                    <w:t xml:space="preserve">ICU2 </w:t>
                  </w:r>
                  <w:r w:rsidRPr="007A2C90">
                    <w:rPr>
                      <w:rFonts w:ascii="Arial" w:hAnsi="Arial" w:cs="Arial"/>
                      <w:sz w:val="22"/>
                      <w:szCs w:val="22"/>
                    </w:rPr>
                    <w:t>-</w:t>
                  </w:r>
                  <w:r>
                    <w:rPr>
                      <w:rFonts w:ascii="Arial" w:hAnsi="Arial" w:cs="Arial"/>
                      <w:sz w:val="22"/>
                      <w:szCs w:val="22"/>
                    </w:rPr>
                    <w:t xml:space="preserve"> IABP </w:t>
                  </w:r>
                </w:p>
                <w:p w:rsidR="001F1DF9" w:rsidRPr="001F1DF9" w:rsidRDefault="001F1DF9" w:rsidP="001F1DF9">
                  <w:pPr>
                    <w:pStyle w:val="ListParagraph"/>
                    <w:rPr>
                      <w:rFonts w:ascii="Arial" w:hAnsi="Arial" w:cs="Arial"/>
                      <w:sz w:val="22"/>
                      <w:szCs w:val="22"/>
                    </w:rPr>
                  </w:pPr>
                  <w:r>
                    <w:rPr>
                      <w:rFonts w:ascii="Arial" w:hAnsi="Arial" w:cs="Arial"/>
                      <w:iCs/>
                      <w:sz w:val="22"/>
                      <w:szCs w:val="22"/>
                    </w:rPr>
                    <w:t>NB</w:t>
                  </w:r>
                  <w:proofErr w:type="gramStart"/>
                  <w:r>
                    <w:rPr>
                      <w:rFonts w:ascii="Arial" w:hAnsi="Arial" w:cs="Arial"/>
                      <w:iCs/>
                      <w:sz w:val="22"/>
                      <w:szCs w:val="22"/>
                    </w:rPr>
                    <w:t xml:space="preserve">- </w:t>
                  </w:r>
                  <w:r w:rsidRPr="001F1DF9">
                    <w:rPr>
                      <w:rFonts w:ascii="Arial" w:hAnsi="Arial" w:cs="Arial"/>
                      <w:iCs/>
                      <w:sz w:val="22"/>
                      <w:szCs w:val="22"/>
                    </w:rPr>
                    <w:t xml:space="preserve"> last</w:t>
                  </w:r>
                  <w:proofErr w:type="gramEnd"/>
                  <w:r w:rsidRPr="001F1DF9">
                    <w:rPr>
                      <w:rFonts w:ascii="Arial" w:hAnsi="Arial" w:cs="Arial"/>
                      <w:iCs/>
                      <w:sz w:val="22"/>
                      <w:szCs w:val="22"/>
                    </w:rPr>
                    <w:t xml:space="preserve"> SABs reported in ICU2 were in June 16</w:t>
                  </w:r>
                  <w:r w:rsidRPr="001F1DF9">
                    <w:rPr>
                      <w:rFonts w:ascii="Arial" w:hAnsi="Arial" w:cs="Arial"/>
                      <w:sz w:val="22"/>
                      <w:szCs w:val="22"/>
                    </w:rPr>
                    <w:t>.</w:t>
                  </w:r>
                </w:p>
                <w:p w:rsidR="00747837" w:rsidRDefault="00747837" w:rsidP="007A2C90">
                  <w:pPr>
                    <w:pStyle w:val="ListParagraph"/>
                    <w:rPr>
                      <w:rFonts w:ascii="Arial" w:hAnsi="Arial" w:cs="Arial"/>
                      <w:sz w:val="22"/>
                      <w:szCs w:val="22"/>
                    </w:rPr>
                  </w:pPr>
                  <w:r>
                    <w:rPr>
                      <w:rFonts w:ascii="Arial" w:hAnsi="Arial" w:cs="Arial"/>
                      <w:b/>
                      <w:i/>
                      <w:iCs/>
                      <w:sz w:val="22"/>
                      <w:szCs w:val="22"/>
                    </w:rPr>
                    <w:t>2 WEST</w:t>
                  </w:r>
                  <w:r w:rsidRPr="007A2C90">
                    <w:rPr>
                      <w:rFonts w:ascii="Arial" w:hAnsi="Arial" w:cs="Arial"/>
                      <w:sz w:val="22"/>
                      <w:szCs w:val="22"/>
                    </w:rPr>
                    <w:t>-</w:t>
                  </w:r>
                  <w:r>
                    <w:rPr>
                      <w:rFonts w:ascii="Arial" w:hAnsi="Arial" w:cs="Arial"/>
                      <w:sz w:val="22"/>
                      <w:szCs w:val="22"/>
                    </w:rPr>
                    <w:t xml:space="preserve"> PVC</w:t>
                  </w:r>
                  <w:r w:rsidRPr="009107A6">
                    <w:rPr>
                      <w:rFonts w:ascii="Arial" w:hAnsi="Arial" w:cs="Arial"/>
                      <w:sz w:val="22"/>
                      <w:szCs w:val="22"/>
                    </w:rPr>
                    <w:t xml:space="preserve"> </w:t>
                  </w:r>
                </w:p>
                <w:p w:rsidR="00747837" w:rsidRDefault="00747837" w:rsidP="007A2C90">
                  <w:pPr>
                    <w:pStyle w:val="ListParagraph"/>
                    <w:rPr>
                      <w:rFonts w:ascii="Arial" w:hAnsi="Arial" w:cs="Arial"/>
                      <w:sz w:val="22"/>
                      <w:szCs w:val="22"/>
                    </w:rPr>
                  </w:pPr>
                  <w:r w:rsidRPr="0053232A">
                    <w:rPr>
                      <w:rFonts w:ascii="Arial" w:hAnsi="Arial" w:cs="Arial"/>
                      <w:i/>
                      <w:iCs/>
                      <w:sz w:val="22"/>
                      <w:szCs w:val="22"/>
                    </w:rPr>
                    <w:t>SAB Investigation reports to be presented at the next SSCGG</w:t>
                  </w:r>
                  <w:r w:rsidRPr="0053232A">
                    <w:rPr>
                      <w:rFonts w:ascii="Arial" w:hAnsi="Arial" w:cs="Arial"/>
                      <w:sz w:val="22"/>
                      <w:szCs w:val="22"/>
                    </w:rPr>
                    <w:t>.</w:t>
                  </w:r>
                </w:p>
                <w:p w:rsidR="00747837" w:rsidRPr="009107A6" w:rsidRDefault="00747837" w:rsidP="00E43DD8">
                  <w:pPr>
                    <w:pStyle w:val="ListParagraph"/>
                    <w:rPr>
                      <w:rFonts w:ascii="Arial" w:hAnsi="Arial" w:cs="Arial"/>
                      <w:sz w:val="20"/>
                      <w:szCs w:val="20"/>
                    </w:rPr>
                  </w:pPr>
                </w:p>
                <w:p w:rsidR="00747837" w:rsidRDefault="00747837" w:rsidP="002A6F92">
                  <w:pPr>
                    <w:pStyle w:val="ListParagraph"/>
                    <w:numPr>
                      <w:ilvl w:val="0"/>
                      <w:numId w:val="45"/>
                    </w:numPr>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747837" w:rsidRPr="0087254F" w:rsidRDefault="00747837" w:rsidP="00234597">
                  <w:pPr>
                    <w:pStyle w:val="ListParagraph"/>
                    <w:rPr>
                      <w:rFonts w:ascii="Arial" w:hAnsi="Arial" w:cs="Arial"/>
                      <w:sz w:val="22"/>
                      <w:szCs w:val="22"/>
                    </w:rPr>
                  </w:pPr>
                </w:p>
                <w:p w:rsidR="00747837" w:rsidRPr="00E21E84" w:rsidRDefault="00747837" w:rsidP="00234597">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July</w:t>
                  </w:r>
                  <w:r w:rsidRPr="009E4D5A">
                    <w:rPr>
                      <w:rFonts w:ascii="Arial" w:hAnsi="Arial" w:cs="Arial"/>
                      <w:sz w:val="22"/>
                      <w:szCs w:val="22"/>
                    </w:rPr>
                    <w:t xml:space="preserve"> </w:t>
                  </w:r>
                  <w:r>
                    <w:rPr>
                      <w:rFonts w:ascii="Arial" w:hAnsi="Arial" w:cs="Arial"/>
                      <w:sz w:val="22"/>
                      <w:szCs w:val="22"/>
                    </w:rPr>
                    <w:t xml:space="preserve">demonstrates 94% compliance with Hand Hygiene. Unusually four episodes of non compliance was noted via our student population. This has been feedback to universities via the Practice Education Facilitator. Next report due September. </w:t>
                  </w:r>
                </w:p>
                <w:p w:rsidR="00747837" w:rsidRPr="009E4D5A" w:rsidRDefault="00747837" w:rsidP="00E21E84">
                  <w:pPr>
                    <w:pStyle w:val="ListParagraph"/>
                    <w:ind w:left="360"/>
                    <w:rPr>
                      <w:rFonts w:ascii="Arial" w:hAnsi="Arial" w:cs="Arial"/>
                      <w:b/>
                      <w:sz w:val="22"/>
                      <w:szCs w:val="22"/>
                    </w:rPr>
                  </w:pPr>
                </w:p>
                <w:p w:rsidR="00747837" w:rsidRPr="00B2436B" w:rsidRDefault="00747837" w:rsidP="001941A8">
                  <w:pPr>
                    <w:pStyle w:val="ListParagraph"/>
                    <w:numPr>
                      <w:ilvl w:val="0"/>
                      <w:numId w:val="42"/>
                    </w:numPr>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747837" w:rsidRDefault="00747837" w:rsidP="001941A8">
                  <w:pPr>
                    <w:pStyle w:val="ListParagraph"/>
                    <w:rPr>
                      <w:rFonts w:ascii="Arial" w:hAnsi="Arial" w:cs="Arial"/>
                      <w:sz w:val="22"/>
                      <w:szCs w:val="22"/>
                    </w:rPr>
                  </w:pPr>
                  <w:r w:rsidRPr="00B2436B">
                    <w:rPr>
                      <w:rFonts w:ascii="Arial" w:hAnsi="Arial" w:cs="Arial"/>
                      <w:b/>
                      <w:sz w:val="22"/>
                      <w:szCs w:val="22"/>
                    </w:rPr>
                    <w:t>Housekeeping Compliance:</w:t>
                  </w:r>
                  <w:r w:rsidRPr="00B2436B">
                    <w:rPr>
                      <w:rFonts w:ascii="Arial" w:hAnsi="Arial" w:cs="Arial"/>
                      <w:sz w:val="22"/>
                      <w:szCs w:val="22"/>
                    </w:rPr>
                    <w:t xml:space="preserve"> </w:t>
                  </w:r>
                  <w:r>
                    <w:rPr>
                      <w:rFonts w:ascii="Arial" w:hAnsi="Arial" w:cs="Arial"/>
                      <w:sz w:val="22"/>
                      <w:szCs w:val="22"/>
                    </w:rPr>
                    <w:t>98.21</w:t>
                  </w:r>
                  <w:r w:rsidRPr="00B2436B">
                    <w:rPr>
                      <w:rFonts w:ascii="Arial" w:hAnsi="Arial" w:cs="Arial"/>
                      <w:sz w:val="22"/>
                      <w:szCs w:val="22"/>
                    </w:rPr>
                    <w:t xml:space="preserve">%   </w:t>
                  </w:r>
                  <w:r w:rsidRPr="00B2436B">
                    <w:rPr>
                      <w:rFonts w:ascii="Arial" w:hAnsi="Arial" w:cs="Arial"/>
                      <w:b/>
                      <w:sz w:val="22"/>
                      <w:szCs w:val="22"/>
                    </w:rPr>
                    <w:t>Estates Compliance:</w:t>
                  </w:r>
                  <w:r w:rsidRPr="00B2436B">
                    <w:rPr>
                      <w:rFonts w:ascii="Arial" w:hAnsi="Arial" w:cs="Arial"/>
                      <w:sz w:val="22"/>
                      <w:szCs w:val="22"/>
                    </w:rPr>
                    <w:t xml:space="preserve"> </w:t>
                  </w:r>
                  <w:r>
                    <w:rPr>
                      <w:rFonts w:ascii="Arial" w:hAnsi="Arial" w:cs="Arial"/>
                      <w:sz w:val="22"/>
                      <w:szCs w:val="22"/>
                    </w:rPr>
                    <w:t>99.06%</w:t>
                  </w:r>
                </w:p>
                <w:p w:rsidR="00747837" w:rsidRPr="001941A8" w:rsidRDefault="00747837" w:rsidP="001941A8">
                  <w:pPr>
                    <w:pStyle w:val="ListParagraph"/>
                    <w:rPr>
                      <w:rFonts w:ascii="Arial" w:hAnsi="Arial" w:cs="Arial"/>
                      <w:sz w:val="22"/>
                      <w:szCs w:val="22"/>
                    </w:rPr>
                  </w:pPr>
                </w:p>
                <w:p w:rsidR="00747837" w:rsidRPr="0053232A" w:rsidRDefault="00747837" w:rsidP="00210253">
                  <w:pPr>
                    <w:pStyle w:val="ListParagraph"/>
                    <w:numPr>
                      <w:ilvl w:val="0"/>
                      <w:numId w:val="42"/>
                    </w:numPr>
                    <w:rPr>
                      <w:rFonts w:ascii="Arial" w:hAnsi="Arial" w:cs="Arial"/>
                      <w:b/>
                      <w:sz w:val="22"/>
                      <w:szCs w:val="22"/>
                    </w:rPr>
                  </w:pPr>
                  <w:r w:rsidRPr="0053232A">
                    <w:rPr>
                      <w:rFonts w:ascii="Arial" w:hAnsi="Arial" w:cs="Arial"/>
                      <w:b/>
                      <w:sz w:val="22"/>
                      <w:szCs w:val="22"/>
                    </w:rPr>
                    <w:t>Surgical Site Infection</w:t>
                  </w:r>
                  <w:r w:rsidRPr="0053232A">
                    <w:rPr>
                      <w:rFonts w:ascii="Arial" w:hAnsi="Arial" w:cs="Arial"/>
                      <w:sz w:val="22"/>
                      <w:szCs w:val="22"/>
                    </w:rPr>
                    <w:t xml:space="preserve">- No SSI reported in August. </w:t>
                  </w:r>
                </w:p>
                <w:p w:rsidR="00747837" w:rsidRDefault="00747837" w:rsidP="00210253">
                  <w:pPr>
                    <w:pStyle w:val="ListParagraph"/>
                    <w:rPr>
                      <w:rFonts w:ascii="Arial" w:hAnsi="Arial" w:cs="Arial"/>
                      <w:b/>
                      <w:sz w:val="22"/>
                      <w:szCs w:val="22"/>
                    </w:rPr>
                  </w:pPr>
                </w:p>
                <w:p w:rsidR="00747837" w:rsidRDefault="00747837" w:rsidP="00210253">
                  <w:pPr>
                    <w:pStyle w:val="ListParagraph"/>
                    <w:rPr>
                      <w:rFonts w:ascii="Arial" w:hAnsi="Arial" w:cs="Arial"/>
                      <w:b/>
                      <w:sz w:val="22"/>
                      <w:szCs w:val="22"/>
                    </w:rPr>
                  </w:pPr>
                </w:p>
                <w:p w:rsidR="00747837" w:rsidRPr="00210253" w:rsidRDefault="00747837" w:rsidP="00210253">
                  <w:pPr>
                    <w:pStyle w:val="ListParagraph"/>
                    <w:rPr>
                      <w:rFonts w:ascii="Arial" w:hAnsi="Arial" w:cs="Arial"/>
                      <w:b/>
                      <w:sz w:val="22"/>
                      <w:szCs w:val="22"/>
                    </w:rPr>
                  </w:pPr>
                </w:p>
                <w:p w:rsidR="00747837" w:rsidRDefault="00747837"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747837" w:rsidRDefault="00747837" w:rsidP="00FC4A5A">
                  <w:pPr>
                    <w:jc w:val="both"/>
                    <w:rPr>
                      <w:rFonts w:ascii="Arial" w:hAnsi="Arial" w:cs="Arial"/>
                      <w:b/>
                      <w:bCs/>
                    </w:rPr>
                  </w:pPr>
                </w:p>
                <w:p w:rsidR="00747837" w:rsidRDefault="00747837" w:rsidP="00FC4A5A">
                  <w:pPr>
                    <w:jc w:val="both"/>
                    <w:rPr>
                      <w:rFonts w:ascii="Arial" w:hAnsi="Arial" w:cs="Arial"/>
                      <w:b/>
                      <w:bCs/>
                    </w:rPr>
                  </w:pPr>
                </w:p>
                <w:p w:rsidR="00747837" w:rsidRPr="001172DE" w:rsidRDefault="00747837"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747837" w:rsidRPr="001172DE" w:rsidRDefault="00747837"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747837" w:rsidRPr="00663142" w:rsidTr="00E43DD8">
                    <w:tc>
                      <w:tcPr>
                        <w:tcW w:w="1660" w:type="dxa"/>
                      </w:tcPr>
                      <w:p w:rsidR="00747837" w:rsidRPr="00663142" w:rsidRDefault="00747837" w:rsidP="00F50AAE">
                        <w:pPr>
                          <w:rPr>
                            <w:rFonts w:ascii="Arial" w:hAnsi="Arial" w:cs="Arial"/>
                            <w:b/>
                            <w:sz w:val="20"/>
                            <w:szCs w:val="20"/>
                          </w:rPr>
                        </w:pPr>
                        <w:r>
                          <w:rPr>
                            <w:rFonts w:ascii="Arial" w:hAnsi="Arial" w:cs="Arial"/>
                            <w:b/>
                            <w:sz w:val="20"/>
                            <w:szCs w:val="20"/>
                          </w:rPr>
                          <w:t>PAGs</w:t>
                        </w:r>
                      </w:p>
                    </w:tc>
                    <w:tc>
                      <w:tcPr>
                        <w:tcW w:w="6562" w:type="dxa"/>
                      </w:tcPr>
                      <w:p w:rsidR="00747837" w:rsidRPr="00663142" w:rsidRDefault="00747837" w:rsidP="00DB5C9A">
                        <w:pPr>
                          <w:jc w:val="both"/>
                          <w:rPr>
                            <w:rFonts w:ascii="Arial" w:hAnsi="Arial" w:cs="Arial"/>
                            <w:b/>
                            <w:sz w:val="20"/>
                            <w:szCs w:val="20"/>
                          </w:rPr>
                        </w:pPr>
                        <w:r w:rsidRPr="00663142">
                          <w:rPr>
                            <w:rFonts w:ascii="Arial" w:hAnsi="Arial" w:cs="Arial"/>
                            <w:b/>
                            <w:sz w:val="20"/>
                            <w:szCs w:val="20"/>
                          </w:rPr>
                          <w:t>Update</w:t>
                        </w:r>
                      </w:p>
                    </w:tc>
                  </w:tr>
                  <w:tr w:rsidR="00747837" w:rsidRPr="00663142" w:rsidTr="00E43DD8">
                    <w:tc>
                      <w:tcPr>
                        <w:tcW w:w="1660" w:type="dxa"/>
                      </w:tcPr>
                      <w:p w:rsidR="00747837" w:rsidRPr="0024763B" w:rsidRDefault="00747837"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proofErr w:type="spellStart"/>
                        <w:r w:rsidRPr="0024763B">
                          <w:rPr>
                            <w:rFonts w:ascii="Arial Narrow" w:hAnsi="Arial Narrow" w:cs="Arial"/>
                            <w:b/>
                            <w:i/>
                          </w:rPr>
                          <w:t>chimaera</w:t>
                        </w:r>
                        <w:proofErr w:type="spellEnd"/>
                      </w:p>
                    </w:tc>
                    <w:tc>
                      <w:tcPr>
                        <w:tcW w:w="6562" w:type="dxa"/>
                      </w:tcPr>
                      <w:p w:rsidR="00747837" w:rsidRDefault="00747837" w:rsidP="00CF5C22">
                        <w:pPr>
                          <w:rPr>
                            <w:rFonts w:ascii="Arial Narrow" w:hAnsi="Arial Narrow"/>
                          </w:rPr>
                        </w:pPr>
                        <w:r>
                          <w:rPr>
                            <w:rFonts w:ascii="Arial Narrow" w:hAnsi="Arial Narrow"/>
                            <w:sz w:val="22"/>
                            <w:szCs w:val="22"/>
                          </w:rPr>
                          <w:t xml:space="preserve">Heath Protection Scotland </w:t>
                        </w:r>
                        <w:proofErr w:type="gramStart"/>
                        <w:r>
                          <w:rPr>
                            <w:rFonts w:ascii="Arial Narrow" w:hAnsi="Arial Narrow"/>
                            <w:sz w:val="22"/>
                            <w:szCs w:val="22"/>
                          </w:rPr>
                          <w:t>are</w:t>
                        </w:r>
                        <w:proofErr w:type="gramEnd"/>
                        <w:r>
                          <w:rPr>
                            <w:rFonts w:ascii="Arial Narrow" w:hAnsi="Arial Narrow"/>
                            <w:sz w:val="22"/>
                            <w:szCs w:val="22"/>
                          </w:rPr>
                          <w:t xml:space="preserve"> </w:t>
                        </w:r>
                        <w:r w:rsidRPr="00750430">
                          <w:rPr>
                            <w:rFonts w:ascii="Arial Narrow" w:hAnsi="Arial Narrow"/>
                            <w:sz w:val="22"/>
                            <w:szCs w:val="22"/>
                          </w:rPr>
                          <w:t>continuing to lead Scotland’s response to the international investigation of Mycobacterium infections associated the use of cardiopulmonary bypass heater cooler machines. We are continuing to work with HPS to manage the very low risk associated with colonised machines. Scottish Government HAI Policy Unit</w:t>
                        </w:r>
                        <w:r>
                          <w:rPr>
                            <w:rFonts w:ascii="Arial Narrow" w:hAnsi="Arial Narrow"/>
                            <w:sz w:val="22"/>
                            <w:szCs w:val="22"/>
                          </w:rPr>
                          <w:t xml:space="preserve"> </w:t>
                        </w:r>
                        <w:proofErr w:type="gramStart"/>
                        <w:r w:rsidRPr="00750430">
                          <w:rPr>
                            <w:rFonts w:ascii="Arial Narrow" w:hAnsi="Arial Narrow"/>
                            <w:sz w:val="22"/>
                            <w:szCs w:val="22"/>
                          </w:rPr>
                          <w:t>are</w:t>
                        </w:r>
                        <w:proofErr w:type="gramEnd"/>
                        <w:r w:rsidRPr="00750430">
                          <w:rPr>
                            <w:rFonts w:ascii="Arial Narrow" w:hAnsi="Arial Narrow"/>
                            <w:sz w:val="22"/>
                            <w:szCs w:val="22"/>
                          </w:rPr>
                          <w:t xml:space="preserve"> also informed of our current position. </w:t>
                        </w:r>
                      </w:p>
                      <w:p w:rsidR="00747837" w:rsidRPr="00210253" w:rsidRDefault="00747837" w:rsidP="00CF5C22">
                        <w:pPr>
                          <w:rPr>
                            <w:rFonts w:ascii="Arial Narrow" w:hAnsi="Arial Narrow"/>
                            <w:highlight w:val="yellow"/>
                          </w:rPr>
                        </w:pPr>
                      </w:p>
                      <w:p w:rsidR="00747837" w:rsidRDefault="00747837" w:rsidP="00CF5C22">
                        <w:pPr>
                          <w:rPr>
                            <w:rFonts w:ascii="Arial Narrow" w:hAnsi="Arial Narrow"/>
                            <w:bCs/>
                            <w:sz w:val="23"/>
                            <w:szCs w:val="23"/>
                          </w:rPr>
                        </w:pPr>
                        <w:r>
                          <w:rPr>
                            <w:rFonts w:ascii="Arial Narrow" w:hAnsi="Arial Narrow"/>
                            <w:bCs/>
                            <w:sz w:val="23"/>
                            <w:szCs w:val="23"/>
                          </w:rPr>
                          <w:t>A further IMT is to be convened to formally close the PAG – still awaited.</w:t>
                        </w:r>
                      </w:p>
                      <w:p w:rsidR="00747837" w:rsidRDefault="00747837" w:rsidP="00CF5C22">
                        <w:pPr>
                          <w:rPr>
                            <w:rFonts w:ascii="Arial Narrow" w:hAnsi="Arial Narrow"/>
                            <w:bCs/>
                            <w:sz w:val="23"/>
                            <w:szCs w:val="23"/>
                          </w:rPr>
                        </w:pPr>
                      </w:p>
                      <w:p w:rsidR="00747837" w:rsidRPr="00210253" w:rsidRDefault="00E87792" w:rsidP="00CF5C22">
                        <w:pPr>
                          <w:rPr>
                            <w:rFonts w:ascii="Arial Narrow" w:hAnsi="Arial Narrow"/>
                            <w:highlight w:val="yellow"/>
                          </w:rPr>
                        </w:pPr>
                        <w:r>
                          <w:rPr>
                            <w:rFonts w:ascii="Arial Narrow" w:hAnsi="Arial Narrow"/>
                            <w:bCs/>
                            <w:sz w:val="23"/>
                            <w:szCs w:val="23"/>
                          </w:rPr>
                          <w:t>The manufacturer</w:t>
                        </w:r>
                        <w:r w:rsidR="00747837">
                          <w:rPr>
                            <w:rFonts w:ascii="Arial Narrow" w:hAnsi="Arial Narrow"/>
                            <w:bCs/>
                            <w:sz w:val="23"/>
                            <w:szCs w:val="23"/>
                          </w:rPr>
                          <w:t xml:space="preserve"> </w:t>
                        </w:r>
                        <w:r w:rsidR="00AA30F4">
                          <w:rPr>
                            <w:rFonts w:ascii="Arial Narrow" w:hAnsi="Arial Narrow"/>
                            <w:bCs/>
                            <w:sz w:val="23"/>
                            <w:szCs w:val="23"/>
                          </w:rPr>
                          <w:t>is</w:t>
                        </w:r>
                        <w:r w:rsidR="00747837">
                          <w:rPr>
                            <w:rFonts w:ascii="Arial Narrow" w:hAnsi="Arial Narrow"/>
                            <w:bCs/>
                            <w:sz w:val="23"/>
                            <w:szCs w:val="23"/>
                          </w:rPr>
                          <w:t xml:space="preserve"> undertaking an upgrade programme</w:t>
                        </w:r>
                        <w:r w:rsidR="00AA30F4">
                          <w:rPr>
                            <w:rFonts w:ascii="Arial Narrow" w:hAnsi="Arial Narrow"/>
                            <w:bCs/>
                            <w:sz w:val="23"/>
                            <w:szCs w:val="23"/>
                          </w:rPr>
                          <w:t xml:space="preserve"> to improve seals and tanks. </w:t>
                        </w:r>
                        <w:r w:rsidR="00747837">
                          <w:rPr>
                            <w:rFonts w:ascii="Arial Narrow" w:hAnsi="Arial Narrow"/>
                            <w:bCs/>
                            <w:sz w:val="23"/>
                            <w:szCs w:val="23"/>
                          </w:rPr>
                          <w:t xml:space="preserve">GJNH heaters are scheduled to commence this process </w:t>
                        </w:r>
                        <w:r w:rsidR="00AA30F4">
                          <w:rPr>
                            <w:rFonts w:ascii="Arial Narrow" w:hAnsi="Arial Narrow"/>
                            <w:bCs/>
                            <w:sz w:val="23"/>
                            <w:szCs w:val="23"/>
                          </w:rPr>
                          <w:t>at the GJNH</w:t>
                        </w:r>
                        <w:r w:rsidR="00747837">
                          <w:rPr>
                            <w:rFonts w:ascii="Arial Narrow" w:hAnsi="Arial Narrow"/>
                            <w:bCs/>
                            <w:sz w:val="23"/>
                            <w:szCs w:val="23"/>
                          </w:rPr>
                          <w:t xml:space="preserve"> in </w:t>
                        </w:r>
                        <w:r w:rsidR="00AA30F4">
                          <w:rPr>
                            <w:rFonts w:ascii="Arial Narrow" w:hAnsi="Arial Narrow"/>
                            <w:bCs/>
                            <w:sz w:val="23"/>
                            <w:szCs w:val="23"/>
                          </w:rPr>
                          <w:t xml:space="preserve">early </w:t>
                        </w:r>
                        <w:r w:rsidR="00747837">
                          <w:rPr>
                            <w:rFonts w:ascii="Arial Narrow" w:hAnsi="Arial Narrow"/>
                            <w:bCs/>
                            <w:sz w:val="23"/>
                            <w:szCs w:val="23"/>
                          </w:rPr>
                          <w:t xml:space="preserve">October. </w:t>
                        </w:r>
                      </w:p>
                      <w:p w:rsidR="00747837" w:rsidRPr="00210253" w:rsidRDefault="00747837" w:rsidP="00CF5C22">
                        <w:pPr>
                          <w:rPr>
                            <w:rFonts w:ascii="Arial" w:hAnsi="Arial" w:cs="Arial"/>
                            <w:sz w:val="20"/>
                            <w:szCs w:val="20"/>
                            <w:highlight w:val="yellow"/>
                          </w:rPr>
                        </w:pPr>
                      </w:p>
                    </w:tc>
                  </w:tr>
                </w:tbl>
                <w:p w:rsidR="00747837" w:rsidRDefault="00747837" w:rsidP="00E65852">
                  <w:pPr>
                    <w:jc w:val="both"/>
                    <w:rPr>
                      <w:rFonts w:ascii="Arial" w:hAnsi="Arial" w:cs="Arial"/>
                      <w:sz w:val="22"/>
                      <w:szCs w:val="22"/>
                    </w:rPr>
                  </w:pPr>
                </w:p>
                <w:p w:rsidR="00747837" w:rsidRPr="00632F9F" w:rsidRDefault="00747837" w:rsidP="00632F9F">
                  <w:pPr>
                    <w:ind w:left="426"/>
                    <w:jc w:val="both"/>
                    <w:rPr>
                      <w:rFonts w:ascii="Arial" w:hAnsi="Arial" w:cs="Arial"/>
                      <w:i/>
                      <w:iCs/>
                      <w:sz w:val="22"/>
                      <w:szCs w:val="22"/>
                    </w:rPr>
                  </w:pPr>
                </w:p>
              </w:txbxContent>
            </v:textbox>
            <w10:wrap type="square"/>
          </v:shape>
        </w:pict>
      </w:r>
      <w:r w:rsidRPr="00616FB3">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747837" w:rsidRPr="00232DEA" w:rsidRDefault="00747837"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747837" w:rsidRPr="00232DEA" w:rsidRDefault="00747837" w:rsidP="00FB7EA9">
                  <w:pPr>
                    <w:rPr>
                      <w:rFonts w:ascii="Arial" w:hAnsi="Arial" w:cs="Arial"/>
                      <w:sz w:val="22"/>
                      <w:szCs w:val="22"/>
                    </w:rPr>
                  </w:pPr>
                </w:p>
                <w:p w:rsidR="00747837" w:rsidRDefault="00747837" w:rsidP="00FB7EA9">
                  <w:pPr>
                    <w:rPr>
                      <w:rFonts w:ascii="Arial" w:hAnsi="Arial" w:cs="Arial"/>
                      <w:sz w:val="20"/>
                      <w:szCs w:val="20"/>
                    </w:rPr>
                  </w:pPr>
                </w:p>
                <w:p w:rsidR="00747837" w:rsidRDefault="00747837" w:rsidP="00FB7EA9">
                  <w:pPr>
                    <w:rPr>
                      <w:rFonts w:ascii="Arial" w:hAnsi="Arial" w:cs="Arial"/>
                      <w:sz w:val="20"/>
                      <w:szCs w:val="20"/>
                    </w:rPr>
                  </w:pPr>
                </w:p>
                <w:p w:rsidR="00747837" w:rsidRDefault="00747837" w:rsidP="00FB7EA9">
                  <w:pPr>
                    <w:rPr>
                      <w:rFonts w:ascii="Arial" w:hAnsi="Arial" w:cs="Arial"/>
                      <w:sz w:val="20"/>
                      <w:szCs w:val="20"/>
                    </w:rPr>
                  </w:pPr>
                </w:p>
                <w:p w:rsidR="00747837" w:rsidRDefault="00747837"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616FB3" w:rsidP="00697BB3">
      <w:pPr>
        <w:spacing w:after="120"/>
        <w:jc w:val="both"/>
        <w:rPr>
          <w:rFonts w:ascii="Arial" w:hAnsi="Arial" w:cs="Arial"/>
          <w:b/>
        </w:rPr>
      </w:pPr>
      <w:r w:rsidRPr="00616FB3">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747837" w:rsidRDefault="00747837"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747837" w:rsidRDefault="00747837"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747837" w:rsidRPr="00AA66A1" w:rsidRDefault="00747837"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747837" w:rsidRDefault="00616FB3" w:rsidP="009E0450">
                  <w:pPr>
                    <w:spacing w:after="120"/>
                    <w:jc w:val="both"/>
                  </w:pPr>
                  <w:hyperlink r:id="rId10" w:history="1">
                    <w:r w:rsidR="00747837" w:rsidRPr="00AA66A1">
                      <w:rPr>
                        <w:rStyle w:val="Hyperlink"/>
                        <w:rFonts w:ascii="Arial" w:hAnsi="Arial" w:cs="Arial"/>
                        <w:sz w:val="18"/>
                        <w:szCs w:val="18"/>
                      </w:rPr>
                      <w:t>http://www.hps.scot.nhs.uk/haiic/sshaip/publicationsdetail.aspx?id=30248</w:t>
                    </w:r>
                  </w:hyperlink>
                </w:p>
                <w:p w:rsidR="00747837" w:rsidRDefault="00747837" w:rsidP="009E0450">
                  <w:pPr>
                    <w:spacing w:after="120"/>
                    <w:jc w:val="both"/>
                  </w:pPr>
                </w:p>
                <w:p w:rsidR="00747837" w:rsidRPr="00AA66A1" w:rsidRDefault="00747837"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lastRenderedPageBreak/>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851132">
        <w:rPr>
          <w:rFonts w:ascii="Arial" w:hAnsi="Arial" w:cs="Arial"/>
          <w:b/>
          <w:sz w:val="22"/>
          <w:szCs w:val="22"/>
        </w:rPr>
        <w:t xml:space="preserve">April- June </w:t>
      </w:r>
      <w:r>
        <w:rPr>
          <w:rFonts w:ascii="Arial" w:hAnsi="Arial" w:cs="Arial"/>
          <w:b/>
          <w:sz w:val="22"/>
          <w:szCs w:val="22"/>
        </w:rPr>
        <w:t>17 is</w:t>
      </w:r>
      <w:r w:rsidRPr="00537287">
        <w:rPr>
          <w:rFonts w:ascii="Arial" w:hAnsi="Arial" w:cs="Arial"/>
          <w:b/>
          <w:sz w:val="22"/>
          <w:szCs w:val="22"/>
        </w:rPr>
        <w:t xml:space="preserve"> 0.</w:t>
      </w:r>
      <w:r w:rsidR="00851132">
        <w:rPr>
          <w:rFonts w:ascii="Arial" w:hAnsi="Arial" w:cs="Arial"/>
          <w:b/>
          <w:sz w:val="22"/>
          <w:szCs w:val="22"/>
        </w:rPr>
        <w:t>0</w:t>
      </w:r>
      <w:r w:rsidR="00B40A01">
        <w:rPr>
          <w:rFonts w:ascii="Arial" w:hAnsi="Arial" w:cs="Arial"/>
          <w:b/>
          <w:sz w:val="22"/>
          <w:szCs w:val="22"/>
        </w:rPr>
        <w:t>0</w:t>
      </w:r>
      <w:r w:rsidRPr="00537287">
        <w:rPr>
          <w:rFonts w:ascii="Arial" w:hAnsi="Arial" w:cs="Arial"/>
          <w:b/>
          <w:sz w:val="22"/>
          <w:szCs w:val="22"/>
        </w:rPr>
        <w:t xml:space="preserve"> per 1000 occupied bed days.</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4A52A0" w:rsidP="00283595">
      <w:pPr>
        <w:rPr>
          <w:rFonts w:ascii="Arial" w:hAnsi="Arial" w:cs="Arial"/>
          <w:b/>
          <w:i/>
        </w:rPr>
      </w:pPr>
      <w:r>
        <w:rPr>
          <w:noProof/>
        </w:rPr>
        <w:drawing>
          <wp:inline distT="0" distB="0" distL="0" distR="0">
            <wp:extent cx="6115050" cy="24288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6115050" cy="2428875"/>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616FB3" w:rsidP="00283595">
      <w:pPr>
        <w:rPr>
          <w:rFonts w:ascii="Arial" w:hAnsi="Arial" w:cs="Arial"/>
          <w:b/>
          <w:i/>
        </w:rPr>
      </w:pPr>
      <w:r w:rsidRPr="00616FB3">
        <w:rPr>
          <w:noProof/>
          <w:lang w:val="en-US" w:eastAsia="en-US"/>
        </w:rPr>
        <w:pict>
          <v:shape id="_x0000_s1029" type="#_x0000_t202" style="position:absolute;margin-left:-2.7pt;margin-top:.2pt;width:171.75pt;height:57pt;z-index:251657216">
            <v:textbox>
              <w:txbxContent>
                <w:p w:rsidR="00747837" w:rsidRPr="00974119" w:rsidRDefault="00747837" w:rsidP="00B0022B">
                  <w:pPr>
                    <w:rPr>
                      <w:rFonts w:ascii="Calibri" w:hAnsi="Calibri" w:cs="Calibri"/>
                      <w:b/>
                      <w:sz w:val="20"/>
                      <w:szCs w:val="20"/>
                    </w:rPr>
                  </w:pPr>
                  <w:r w:rsidRPr="00974119">
                    <w:rPr>
                      <w:rFonts w:ascii="Calibri" w:hAnsi="Calibri" w:cs="Calibri"/>
                      <w:b/>
                      <w:sz w:val="20"/>
                      <w:szCs w:val="20"/>
                    </w:rPr>
                    <w:t xml:space="preserve">3 EAST </w:t>
                  </w:r>
                </w:p>
                <w:p w:rsidR="00747837" w:rsidRDefault="00747837"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747837" w:rsidRDefault="00747837" w:rsidP="00B0022B">
                  <w:pPr>
                    <w:rPr>
                      <w:rFonts w:ascii="Calibri" w:hAnsi="Calibri" w:cs="Calibri"/>
                      <w:sz w:val="20"/>
                      <w:szCs w:val="20"/>
                    </w:rPr>
                  </w:pPr>
                  <w:r>
                    <w:rPr>
                      <w:rFonts w:ascii="Calibri" w:hAnsi="Calibri" w:cs="Calibri"/>
                      <w:sz w:val="20"/>
                      <w:szCs w:val="20"/>
                    </w:rPr>
                    <w:t>Oct 16- Pericardial fluid</w:t>
                  </w:r>
                </w:p>
                <w:p w:rsidR="00747837" w:rsidRDefault="00747837" w:rsidP="00B0022B">
                  <w:pPr>
                    <w:rPr>
                      <w:rFonts w:ascii="Calibri" w:hAnsi="Calibri" w:cs="Calibri"/>
                      <w:sz w:val="20"/>
                      <w:szCs w:val="20"/>
                    </w:rPr>
                  </w:pPr>
                  <w:r>
                    <w:rPr>
                      <w:rFonts w:ascii="Calibri" w:hAnsi="Calibri" w:cs="Calibri"/>
                      <w:sz w:val="20"/>
                      <w:szCs w:val="20"/>
                    </w:rPr>
                    <w:t>Mar 17- x2 PVC/Multiple sources x1</w:t>
                  </w:r>
                </w:p>
                <w:p w:rsidR="00747837" w:rsidRPr="007A6334" w:rsidRDefault="00747837" w:rsidP="00B0022B">
                  <w:pPr>
                    <w:rPr>
                      <w:rFonts w:ascii="Calibri" w:hAnsi="Calibri" w:cs="Calibri"/>
                      <w:sz w:val="20"/>
                      <w:szCs w:val="20"/>
                    </w:rPr>
                  </w:pP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616FB3" w:rsidP="00283595">
      <w:pPr>
        <w:rPr>
          <w:rFonts w:ascii="Arial" w:hAnsi="Arial" w:cs="Arial"/>
          <w:b/>
          <w:i/>
        </w:rPr>
      </w:pPr>
      <w:r w:rsidRPr="00616FB3">
        <w:rPr>
          <w:noProof/>
          <w:lang w:val="en-US" w:eastAsia="en-US"/>
        </w:rPr>
        <w:pict>
          <v:shape id="_x0000_s1031" type="#_x0000_t202" style="position:absolute;margin-left:331.45pt;margin-top:11.3pt;width:145.1pt;height:48.25pt;z-index:251658240">
            <v:textbox style="mso-next-textbox:#_x0000_s1031">
              <w:txbxContent>
                <w:p w:rsidR="00747837" w:rsidRDefault="00747837" w:rsidP="00B0022B">
                  <w:pPr>
                    <w:rPr>
                      <w:rFonts w:ascii="Calibri" w:hAnsi="Calibri" w:cs="Calibri"/>
                      <w:b/>
                      <w:sz w:val="20"/>
                      <w:szCs w:val="20"/>
                    </w:rPr>
                  </w:pPr>
                  <w:r>
                    <w:rPr>
                      <w:rFonts w:ascii="Calibri" w:hAnsi="Calibri" w:cs="Calibri"/>
                      <w:b/>
                      <w:sz w:val="20"/>
                      <w:szCs w:val="20"/>
                    </w:rPr>
                    <w:t>ICU2</w:t>
                  </w:r>
                </w:p>
                <w:p w:rsidR="00747837" w:rsidRPr="00467221" w:rsidRDefault="00747837" w:rsidP="00B0022B">
                  <w:pPr>
                    <w:rPr>
                      <w:rFonts w:ascii="Calibri" w:hAnsi="Calibri" w:cs="Calibri"/>
                      <w:sz w:val="20"/>
                      <w:szCs w:val="20"/>
                    </w:rPr>
                  </w:pPr>
                  <w:r>
                    <w:rPr>
                      <w:rFonts w:ascii="Calibri" w:hAnsi="Calibri" w:cs="Calibri"/>
                      <w:sz w:val="20"/>
                      <w:szCs w:val="20"/>
                    </w:rPr>
                    <w:t>Aug 17- 1 IABP/1 ART LINE</w:t>
                  </w:r>
                </w:p>
              </w:txbxContent>
            </v:textbox>
          </v:shape>
        </w:pict>
      </w:r>
      <w:r w:rsidRPr="00616FB3">
        <w:rPr>
          <w:noProof/>
          <w:lang w:val="en-US" w:eastAsia="en-US"/>
        </w:rPr>
        <w:pict>
          <v:shape id="_x0000_s1030" type="#_x0000_t202" style="position:absolute;margin-left:371.55pt;margin-top:77.55pt;width:88.05pt;height:30.75pt;z-index:251659264">
            <v:textbox>
              <w:txbxContent>
                <w:p w:rsidR="00747837" w:rsidRDefault="00747837" w:rsidP="00B0022B">
                  <w:pPr>
                    <w:rPr>
                      <w:rFonts w:ascii="Calibri" w:hAnsi="Calibri" w:cs="Calibri"/>
                      <w:b/>
                      <w:sz w:val="20"/>
                      <w:szCs w:val="20"/>
                    </w:rPr>
                  </w:pPr>
                  <w:r>
                    <w:rPr>
                      <w:rFonts w:ascii="Calibri" w:hAnsi="Calibri" w:cs="Calibri"/>
                      <w:b/>
                      <w:sz w:val="20"/>
                      <w:szCs w:val="20"/>
                    </w:rPr>
                    <w:t>CCU</w:t>
                  </w:r>
                </w:p>
                <w:p w:rsidR="00747837" w:rsidRDefault="00747837"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747837" w:rsidRPr="00467221" w:rsidRDefault="00747837" w:rsidP="00B0022B">
                  <w:pPr>
                    <w:rPr>
                      <w:rFonts w:ascii="Calibri" w:hAnsi="Calibri" w:cs="Calibri"/>
                      <w:sz w:val="20"/>
                      <w:szCs w:val="20"/>
                    </w:rPr>
                  </w:pPr>
                </w:p>
              </w:txbxContent>
            </v:textbox>
          </v:shape>
        </w:pict>
      </w:r>
      <w:r w:rsidRPr="00616FB3">
        <w:rPr>
          <w:noProof/>
        </w:rPr>
        <w:pict>
          <v:shape id="_x0000_s1060" type="#_x0000_t202" style="position:absolute;margin-left:383.55pt;margin-top:128.55pt;width:114pt;height:30.75pt;z-index:251662336">
            <v:textbox>
              <w:txbxContent>
                <w:p w:rsidR="00747837" w:rsidRDefault="00747837" w:rsidP="000506C4">
                  <w:pPr>
                    <w:rPr>
                      <w:rFonts w:ascii="Calibri" w:hAnsi="Calibri" w:cs="Calibri"/>
                      <w:b/>
                      <w:sz w:val="20"/>
                      <w:szCs w:val="20"/>
                    </w:rPr>
                  </w:pPr>
                  <w:r>
                    <w:rPr>
                      <w:rFonts w:ascii="Calibri" w:hAnsi="Calibri" w:cs="Calibri"/>
                      <w:b/>
                      <w:sz w:val="20"/>
                      <w:szCs w:val="20"/>
                    </w:rPr>
                    <w:t>3 West</w:t>
                  </w:r>
                </w:p>
                <w:p w:rsidR="00747837" w:rsidRDefault="00747837"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747837" w:rsidRPr="00467221" w:rsidRDefault="00747837" w:rsidP="000506C4">
                  <w:pPr>
                    <w:rPr>
                      <w:rFonts w:ascii="Calibri" w:hAnsi="Calibri" w:cs="Calibri"/>
                      <w:sz w:val="20"/>
                      <w:szCs w:val="20"/>
                    </w:rPr>
                  </w:pPr>
                </w:p>
              </w:txbxContent>
            </v:textbox>
          </v:shape>
        </w:pict>
      </w:r>
      <w:r w:rsidR="00E747C2" w:rsidRPr="00CC4203">
        <w:rPr>
          <w:rFonts w:ascii="Arial" w:hAnsi="Arial" w:cs="Arial"/>
          <w:b/>
          <w:i/>
        </w:rPr>
        <w:t xml:space="preserve"> </w:t>
      </w:r>
    </w:p>
    <w:p w:rsidR="00E747C2" w:rsidRDefault="00616FB3" w:rsidP="00283595">
      <w:pPr>
        <w:rPr>
          <w:rFonts w:ascii="Arial" w:hAnsi="Arial" w:cs="Arial"/>
          <w:b/>
          <w:i/>
        </w:rPr>
      </w:pPr>
      <w:r w:rsidRPr="00616FB3">
        <w:rPr>
          <w:noProof/>
        </w:rPr>
        <w:pict>
          <v:shape id="_x0000_s1094" type="#_x0000_t202" style="position:absolute;margin-left:401.55pt;margin-top:179.75pt;width:88.05pt;height:34.5pt;z-index:251665408">
            <v:textbox>
              <w:txbxContent>
                <w:p w:rsidR="00747837" w:rsidRPr="00FA25A9" w:rsidRDefault="00747837" w:rsidP="00FA25A9">
                  <w:pPr>
                    <w:rPr>
                      <w:rFonts w:ascii="Calibri" w:hAnsi="Calibri" w:cs="Calibri"/>
                      <w:b/>
                      <w:sz w:val="20"/>
                      <w:szCs w:val="20"/>
                    </w:rPr>
                  </w:pPr>
                  <w:r w:rsidRPr="00FA25A9">
                    <w:rPr>
                      <w:rFonts w:ascii="Calibri" w:hAnsi="Calibri" w:cs="Calibri"/>
                      <w:b/>
                      <w:sz w:val="20"/>
                      <w:szCs w:val="20"/>
                    </w:rPr>
                    <w:t>2West</w:t>
                  </w:r>
                </w:p>
                <w:p w:rsidR="00747837" w:rsidRPr="00467221" w:rsidRDefault="00747837"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004A52A0">
        <w:rPr>
          <w:noProof/>
        </w:rPr>
        <w:drawing>
          <wp:inline distT="0" distB="0" distL="0" distR="0">
            <wp:extent cx="5305425" cy="29718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305425" cy="2971800"/>
                    </a:xfrm>
                    <a:prstGeom prst="rect">
                      <a:avLst/>
                    </a:prstGeom>
                    <a:noFill/>
                    <a:ln w="9525">
                      <a:noFill/>
                      <a:miter lim="800000"/>
                      <a:headEnd/>
                      <a:tailEnd/>
                    </a:ln>
                  </pic:spPr>
                </pic:pic>
              </a:graphicData>
            </a:graphic>
          </wp:inline>
        </w:drawing>
      </w:r>
    </w:p>
    <w:p w:rsidR="00E747C2" w:rsidRDefault="004A52A0" w:rsidP="00283595">
      <w:pPr>
        <w:rPr>
          <w:rFonts w:ascii="Arial" w:hAnsi="Arial" w:cs="Arial"/>
          <w:b/>
          <w:i/>
        </w:rPr>
      </w:pPr>
      <w:r>
        <w:rPr>
          <w:noProof/>
        </w:rPr>
        <w:lastRenderedPageBreak/>
        <w:drawing>
          <wp:inline distT="0" distB="0" distL="0" distR="0">
            <wp:extent cx="4391025" cy="31718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4391025" cy="3171825"/>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E747C2" w:rsidRPr="00102399" w:rsidRDefault="00E747C2" w:rsidP="00F150C2">
      <w:pPr>
        <w:rPr>
          <w:rFonts w:ascii="Arial" w:hAnsi="Arial" w:cs="Arial"/>
          <w:sz w:val="22"/>
          <w:szCs w:val="22"/>
        </w:rPr>
      </w:pPr>
      <w:r w:rsidRPr="00102399">
        <w:rPr>
          <w:rFonts w:ascii="Arial" w:hAnsi="Arial" w:cs="Arial"/>
          <w:sz w:val="22"/>
          <w:szCs w:val="22"/>
        </w:rPr>
        <w:t xml:space="preserve">Our work plan for the first quarter of 17/18 </w:t>
      </w:r>
      <w:r w:rsidR="000506C4">
        <w:rPr>
          <w:rFonts w:ascii="Arial" w:hAnsi="Arial" w:cs="Arial"/>
          <w:sz w:val="22"/>
          <w:szCs w:val="22"/>
        </w:rPr>
        <w:t>focused</w:t>
      </w:r>
      <w:r w:rsidRPr="00102399">
        <w:rPr>
          <w:rFonts w:ascii="Arial" w:hAnsi="Arial" w:cs="Arial"/>
          <w:sz w:val="22"/>
          <w:szCs w:val="22"/>
        </w:rPr>
        <w:t xml:space="preserve"> on PVC maintenance bundle compliance in 3 East. Work to date </w:t>
      </w:r>
      <w:r>
        <w:rPr>
          <w:rFonts w:ascii="Arial" w:hAnsi="Arial" w:cs="Arial"/>
          <w:sz w:val="22"/>
          <w:szCs w:val="22"/>
        </w:rPr>
        <w:t xml:space="preserve">to inform this work </w:t>
      </w:r>
      <w:r w:rsidR="000506C4">
        <w:rPr>
          <w:rFonts w:ascii="Arial" w:hAnsi="Arial" w:cs="Arial"/>
          <w:sz w:val="22"/>
          <w:szCs w:val="22"/>
        </w:rPr>
        <w:t>included</w:t>
      </w:r>
      <w:r w:rsidRPr="00102399">
        <w:rPr>
          <w:rFonts w:ascii="Arial" w:hAnsi="Arial" w:cs="Arial"/>
          <w:sz w:val="22"/>
          <w:szCs w:val="22"/>
        </w:rPr>
        <w:t>-</w:t>
      </w:r>
    </w:p>
    <w:p w:rsidR="00FA25A9" w:rsidRDefault="00FA25A9" w:rsidP="00102399">
      <w:pPr>
        <w:pStyle w:val="ListParagraph"/>
        <w:numPr>
          <w:ilvl w:val="0"/>
          <w:numId w:val="47"/>
        </w:numPr>
        <w:rPr>
          <w:rFonts w:ascii="Arial" w:hAnsi="Arial" w:cs="Arial"/>
          <w:sz w:val="22"/>
          <w:szCs w:val="22"/>
        </w:rPr>
      </w:pPr>
      <w:r>
        <w:rPr>
          <w:rFonts w:ascii="Arial" w:hAnsi="Arial" w:cs="Arial"/>
          <w:sz w:val="22"/>
          <w:szCs w:val="22"/>
        </w:rPr>
        <w:t>Final draft of PVC bundles testing planned Sept 17</w:t>
      </w:r>
    </w:p>
    <w:p w:rsidR="00FA25A9" w:rsidRDefault="00FA25A9" w:rsidP="00102399">
      <w:pPr>
        <w:pStyle w:val="ListParagraph"/>
        <w:numPr>
          <w:ilvl w:val="0"/>
          <w:numId w:val="47"/>
        </w:numPr>
        <w:rPr>
          <w:rFonts w:ascii="Arial" w:hAnsi="Arial" w:cs="Arial"/>
          <w:sz w:val="22"/>
          <w:szCs w:val="22"/>
        </w:rPr>
      </w:pPr>
      <w:r>
        <w:rPr>
          <w:rFonts w:ascii="Arial" w:hAnsi="Arial" w:cs="Arial"/>
          <w:sz w:val="22"/>
          <w:szCs w:val="22"/>
        </w:rPr>
        <w:t>Update to CIS system to align to current bundle Sept 17</w: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616FB3" w:rsidP="003C4BD8">
      <w:pPr>
        <w:rPr>
          <w:rFonts w:ascii="Arial" w:hAnsi="Arial" w:cs="Arial"/>
          <w:b/>
          <w:bCs/>
          <w:sz w:val="22"/>
          <w:szCs w:val="22"/>
        </w:rPr>
      </w:pPr>
      <w:r w:rsidRPr="00616FB3">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747837" w:rsidRPr="00AA66A1" w:rsidRDefault="00747837"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747837" w:rsidRPr="00CE2B48" w:rsidRDefault="00616FB3" w:rsidP="00F0136C">
                  <w:pPr>
                    <w:spacing w:after="120"/>
                    <w:jc w:val="both"/>
                    <w:rPr>
                      <w:rFonts w:ascii="Arial" w:hAnsi="Arial" w:cs="Arial"/>
                      <w:sz w:val="18"/>
                      <w:szCs w:val="18"/>
                    </w:rPr>
                  </w:pPr>
                  <w:hyperlink r:id="rId14" w:history="1">
                    <w:r w:rsidR="00747837" w:rsidRPr="00CE2B48">
                      <w:rPr>
                        <w:rStyle w:val="Hyperlink"/>
                        <w:rFonts w:ascii="Arial" w:hAnsi="Arial" w:cs="Arial"/>
                        <w:color w:val="000000"/>
                        <w:sz w:val="18"/>
                        <w:szCs w:val="18"/>
                      </w:rPr>
                      <w:t>http://www.nhs.uk/conditions/Clostridium-difficile/Pages/Introduction.aspx</w:t>
                    </w:r>
                  </w:hyperlink>
                </w:p>
                <w:p w:rsidR="00747837" w:rsidRPr="00AA66A1" w:rsidRDefault="00747837"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747837" w:rsidRDefault="00616FB3" w:rsidP="00F0136C">
                  <w:pPr>
                    <w:spacing w:after="120"/>
                    <w:jc w:val="both"/>
                    <w:rPr>
                      <w:rFonts w:ascii="Arial" w:hAnsi="Arial" w:cs="Arial"/>
                      <w:sz w:val="18"/>
                      <w:szCs w:val="18"/>
                    </w:rPr>
                  </w:pPr>
                  <w:hyperlink r:id="rId15" w:history="1">
                    <w:r w:rsidR="00747837"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E747C2" w:rsidRPr="00BE675C" w:rsidRDefault="00E747C2"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Pr="00BE675C">
        <w:rPr>
          <w:rFonts w:ascii="Arial" w:hAnsi="Arial" w:cs="Arial"/>
          <w:sz w:val="22"/>
          <w:szCs w:val="22"/>
        </w:rPr>
        <w:t>The CDI HEAT target has been achieved but awaits HPS validation.</w:t>
      </w:r>
    </w:p>
    <w:p w:rsidR="00E747C2" w:rsidRDefault="00E747C2" w:rsidP="003C4BD8">
      <w:pPr>
        <w:rPr>
          <w:rFonts w:ascii="Arial" w:hAnsi="Arial" w:cs="Arial"/>
          <w:sz w:val="22"/>
          <w:szCs w:val="22"/>
        </w:rPr>
      </w:pPr>
    </w:p>
    <w:p w:rsidR="00A74F5E" w:rsidRDefault="00E747C2" w:rsidP="00BE675C">
      <w:pPr>
        <w:rPr>
          <w:rFonts w:ascii="Arial" w:hAnsi="Arial" w:cs="Arial"/>
          <w:b/>
          <w:sz w:val="22"/>
          <w:szCs w:val="22"/>
        </w:rPr>
      </w:pPr>
      <w:r>
        <w:rPr>
          <w:rFonts w:ascii="Arial" w:hAnsi="Arial" w:cs="Arial"/>
          <w:b/>
          <w:sz w:val="22"/>
          <w:szCs w:val="22"/>
        </w:rPr>
        <w:t xml:space="preserve">Overall </w:t>
      </w:r>
      <w:r w:rsidR="00A74F5E">
        <w:rPr>
          <w:rFonts w:ascii="Arial" w:hAnsi="Arial" w:cs="Arial"/>
          <w:b/>
          <w:sz w:val="22"/>
          <w:szCs w:val="22"/>
        </w:rPr>
        <w:t>A</w:t>
      </w:r>
      <w:r>
        <w:rPr>
          <w:rFonts w:ascii="Arial" w:hAnsi="Arial" w:cs="Arial"/>
          <w:b/>
          <w:sz w:val="22"/>
          <w:szCs w:val="22"/>
        </w:rPr>
        <w:t>pr 1</w:t>
      </w:r>
      <w:r w:rsidR="00A74F5E">
        <w:rPr>
          <w:rFonts w:ascii="Arial" w:hAnsi="Arial" w:cs="Arial"/>
          <w:b/>
          <w:sz w:val="22"/>
          <w:szCs w:val="22"/>
        </w:rPr>
        <w:t>7</w:t>
      </w:r>
      <w:r>
        <w:rPr>
          <w:rFonts w:ascii="Arial" w:hAnsi="Arial" w:cs="Arial"/>
          <w:b/>
          <w:sz w:val="22"/>
          <w:szCs w:val="22"/>
        </w:rPr>
        <w:t xml:space="preserve">- </w:t>
      </w:r>
      <w:r w:rsidR="00A74F5E">
        <w:rPr>
          <w:rFonts w:ascii="Arial" w:hAnsi="Arial" w:cs="Arial"/>
          <w:b/>
          <w:sz w:val="22"/>
          <w:szCs w:val="22"/>
        </w:rPr>
        <w:t>Jun</w:t>
      </w:r>
      <w:r>
        <w:rPr>
          <w:rFonts w:ascii="Arial" w:hAnsi="Arial" w:cs="Arial"/>
          <w:b/>
          <w:sz w:val="22"/>
          <w:szCs w:val="22"/>
        </w:rPr>
        <w:t xml:space="preserve"> 17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4A52A0" w:rsidP="00F0136C">
      <w:pPr>
        <w:jc w:val="both"/>
        <w:rPr>
          <w:rFonts w:ascii="Arial" w:hAnsi="Arial" w:cs="Arial"/>
          <w:b/>
        </w:rPr>
      </w:pPr>
      <w:r>
        <w:rPr>
          <w:noProof/>
        </w:rPr>
        <w:drawing>
          <wp:inline distT="0" distB="0" distL="0" distR="0">
            <wp:extent cx="6029325" cy="21526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6029325" cy="2152650"/>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616FB3" w:rsidP="00464A20">
      <w:pPr>
        <w:jc w:val="both"/>
        <w:rPr>
          <w:rFonts w:ascii="Arial" w:hAnsi="Arial" w:cs="Arial"/>
          <w:b/>
        </w:rPr>
      </w:pPr>
      <w:r w:rsidRPr="00616FB3">
        <w:rPr>
          <w:noProof/>
          <w:lang w:val="en-US" w:eastAsia="en-US"/>
        </w:rPr>
        <w:lastRenderedPageBreak/>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747837" w:rsidRPr="00423BDF" w:rsidRDefault="00747837"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747837" w:rsidRDefault="00616FB3" w:rsidP="00F0136C">
                  <w:pPr>
                    <w:spacing w:after="120"/>
                    <w:jc w:val="both"/>
                    <w:rPr>
                      <w:rFonts w:ascii="Arial" w:hAnsi="Arial" w:cs="Arial"/>
                      <w:sz w:val="18"/>
                      <w:szCs w:val="18"/>
                    </w:rPr>
                  </w:pPr>
                  <w:hyperlink r:id="rId17" w:history="1">
                    <w:r w:rsidR="00747837" w:rsidRPr="00113F1C">
                      <w:rPr>
                        <w:rStyle w:val="Hyperlink"/>
                        <w:rFonts w:ascii="Arial" w:hAnsi="Arial" w:cs="Arial"/>
                        <w:sz w:val="18"/>
                        <w:szCs w:val="18"/>
                      </w:rPr>
                      <w:t>http://www.washyourhandsofthem.com/</w:t>
                    </w:r>
                  </w:hyperlink>
                </w:p>
                <w:p w:rsidR="00747837" w:rsidRPr="00AA66A1" w:rsidRDefault="00747837"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747837" w:rsidRDefault="00616FB3" w:rsidP="00F0136C">
                  <w:pPr>
                    <w:spacing w:after="120"/>
                    <w:jc w:val="both"/>
                    <w:rPr>
                      <w:rFonts w:ascii="Arial" w:hAnsi="Arial" w:cs="Arial"/>
                      <w:sz w:val="18"/>
                      <w:szCs w:val="18"/>
                    </w:rPr>
                  </w:pPr>
                  <w:hyperlink r:id="rId18" w:history="1">
                    <w:r w:rsidR="00747837"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616FB3" w:rsidP="00BD4E85">
      <w:pPr>
        <w:spacing w:after="100" w:afterAutospacing="1"/>
        <w:jc w:val="both"/>
        <w:rPr>
          <w:rFonts w:ascii="Arial" w:hAnsi="Arial" w:cs="Arial"/>
          <w:b/>
        </w:rPr>
      </w:pPr>
      <w:r w:rsidRPr="00616FB3">
        <w:rPr>
          <w:noProof/>
          <w:lang w:val="en-US" w:eastAsia="en-US"/>
        </w:rPr>
        <w:pict>
          <v:shape id="_x0000_s1034" type="#_x0000_t202" style="position:absolute;left:0;text-align:left;margin-left:2.55pt;margin-top:119.35pt;width:479.25pt;height:56.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747837" w:rsidRDefault="00747837"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747837" w:rsidRPr="00CA07A7" w:rsidRDefault="00747837"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May is demonstrates a Board compliance rate of 94%.Next report due September.</w:t>
                  </w:r>
                </w:p>
                <w:p w:rsidR="00747837" w:rsidRPr="00EA3732" w:rsidRDefault="00747837" w:rsidP="00AA646C">
                  <w:pPr>
                    <w:pStyle w:val="ListParagraph"/>
                    <w:spacing w:after="100" w:afterAutospacing="1"/>
                    <w:ind w:left="0"/>
                    <w:jc w:val="both"/>
                    <w:rPr>
                      <w:rFonts w:ascii="Arial" w:hAnsi="Arial" w:cs="Arial"/>
                      <w:sz w:val="22"/>
                      <w:szCs w:val="22"/>
                    </w:rPr>
                  </w:pPr>
                </w:p>
                <w:p w:rsidR="00747837" w:rsidRPr="001E4293" w:rsidRDefault="00747837" w:rsidP="00AA646C">
                  <w:pPr>
                    <w:spacing w:after="120"/>
                    <w:rPr>
                      <w:rFonts w:ascii="Arial" w:hAnsi="Arial" w:cs="Arial"/>
                      <w:b/>
                      <w:sz w:val="22"/>
                      <w:szCs w:val="22"/>
                      <w:u w:val="single"/>
                    </w:rPr>
                  </w:pPr>
                </w:p>
              </w:txbxContent>
            </v:textbox>
            <w10:wrap type="square"/>
          </v:shape>
        </w:pict>
      </w:r>
    </w:p>
    <w:p w:rsidR="00E747C2" w:rsidRDefault="004A52A0" w:rsidP="00BD4E85">
      <w:pPr>
        <w:spacing w:after="100" w:afterAutospacing="1"/>
        <w:jc w:val="both"/>
        <w:rPr>
          <w:rFonts w:ascii="Arial" w:hAnsi="Arial" w:cs="Arial"/>
          <w:b/>
        </w:rPr>
      </w:pPr>
      <w:r>
        <w:rPr>
          <w:noProof/>
        </w:rPr>
        <w:drawing>
          <wp:inline distT="0" distB="0" distL="0" distR="0">
            <wp:extent cx="6610350" cy="58293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6610350" cy="5829300"/>
                    </a:xfrm>
                    <a:prstGeom prst="rect">
                      <a:avLst/>
                    </a:prstGeom>
                    <a:noFill/>
                    <a:ln w="9525">
                      <a:noFill/>
                      <a:miter lim="800000"/>
                      <a:headEnd/>
                      <a:tailEnd/>
                    </a:ln>
                  </pic:spPr>
                </pic:pic>
              </a:graphicData>
            </a:graphic>
          </wp:inline>
        </w:drawing>
      </w:r>
    </w:p>
    <w:p w:rsidR="00E747C2" w:rsidRDefault="004A52A0" w:rsidP="00BD4E85">
      <w:pPr>
        <w:spacing w:after="100" w:afterAutospacing="1"/>
        <w:jc w:val="both"/>
        <w:rPr>
          <w:noProof/>
        </w:rPr>
      </w:pPr>
      <w:r>
        <w:rPr>
          <w:noProof/>
        </w:rPr>
        <w:lastRenderedPageBreak/>
        <w:drawing>
          <wp:inline distT="0" distB="0" distL="0" distR="0">
            <wp:extent cx="6115050" cy="37433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4A52A0" w:rsidP="00BD4E85">
      <w:pPr>
        <w:spacing w:after="100" w:afterAutospacing="1"/>
        <w:jc w:val="both"/>
      </w:pPr>
      <w:r>
        <w:rPr>
          <w:noProof/>
        </w:rPr>
        <w:drawing>
          <wp:inline distT="0" distB="0" distL="0" distR="0">
            <wp:extent cx="6115050" cy="37433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4A52A0" w:rsidP="00BD4E85">
      <w:pPr>
        <w:spacing w:after="100" w:afterAutospacing="1"/>
        <w:jc w:val="both"/>
      </w:pPr>
      <w:r>
        <w:rPr>
          <w:noProof/>
        </w:rPr>
        <w:lastRenderedPageBreak/>
        <w:drawing>
          <wp:inline distT="0" distB="0" distL="0" distR="0">
            <wp:extent cx="6115050" cy="37433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747837" w:rsidRPr="00E40F39" w:rsidRDefault="00747837" w:rsidP="00BD4E85">
      <w:pPr>
        <w:spacing w:after="100" w:afterAutospacing="1"/>
        <w:jc w:val="both"/>
        <w:rPr>
          <w:rStyle w:val="A3"/>
          <w:rFonts w:ascii="Arial" w:hAnsi="Arial" w:cs="Arial"/>
          <w:szCs w:val="22"/>
        </w:rPr>
      </w:pPr>
      <w:r w:rsidRPr="00E40F39">
        <w:rPr>
          <w:rStyle w:val="A3"/>
          <w:rFonts w:ascii="Arial" w:hAnsi="Arial" w:cs="Arial"/>
          <w:szCs w:val="22"/>
        </w:rPr>
        <w:t xml:space="preserve">Integral to the updated National Cleaning Services Specifications, </w:t>
      </w:r>
      <w:r w:rsidR="00E40F39">
        <w:rPr>
          <w:rStyle w:val="A3"/>
          <w:rFonts w:ascii="Arial" w:hAnsi="Arial" w:cs="Arial"/>
          <w:szCs w:val="22"/>
        </w:rPr>
        <w:t xml:space="preserve">the </w:t>
      </w:r>
      <w:r w:rsidRPr="00E40F39">
        <w:rPr>
          <w:rStyle w:val="A3"/>
          <w:rFonts w:ascii="Arial" w:hAnsi="Arial" w:cs="Arial"/>
          <w:szCs w:val="22"/>
        </w:rPr>
        <w:t xml:space="preserve">Housekeeping </w:t>
      </w:r>
      <w:r w:rsidR="00E40F39">
        <w:rPr>
          <w:rStyle w:val="A3"/>
          <w:rFonts w:ascii="Arial" w:hAnsi="Arial" w:cs="Arial"/>
          <w:szCs w:val="22"/>
        </w:rPr>
        <w:t xml:space="preserve">team </w:t>
      </w:r>
      <w:r w:rsidRPr="00E40F39">
        <w:rPr>
          <w:rStyle w:val="A3"/>
          <w:rFonts w:ascii="Arial" w:hAnsi="Arial" w:cs="Arial"/>
          <w:szCs w:val="22"/>
        </w:rPr>
        <w:t xml:space="preserve">are reviewing existing task sheets for each area to risk </w:t>
      </w:r>
      <w:proofErr w:type="gramStart"/>
      <w:r w:rsidRPr="00E40F39">
        <w:rPr>
          <w:rStyle w:val="A3"/>
          <w:rFonts w:ascii="Arial" w:hAnsi="Arial" w:cs="Arial"/>
          <w:szCs w:val="22"/>
        </w:rPr>
        <w:t>as</w:t>
      </w:r>
      <w:r w:rsidR="00E40F39">
        <w:rPr>
          <w:rStyle w:val="A3"/>
          <w:rFonts w:ascii="Arial" w:hAnsi="Arial" w:cs="Arial"/>
          <w:szCs w:val="22"/>
        </w:rPr>
        <w:t>sess</w:t>
      </w:r>
      <w:proofErr w:type="gramEnd"/>
      <w:r w:rsidRPr="00E40F39">
        <w:rPr>
          <w:rStyle w:val="A3"/>
          <w:rFonts w:ascii="Arial" w:hAnsi="Arial" w:cs="Arial"/>
          <w:szCs w:val="22"/>
        </w:rPr>
        <w:t xml:space="preserve"> the frequency of tasks. </w:t>
      </w:r>
      <w:r w:rsidR="00E40F39" w:rsidRPr="00E40F39">
        <w:rPr>
          <w:rStyle w:val="A3"/>
          <w:rFonts w:ascii="Arial" w:hAnsi="Arial" w:cs="Arial"/>
          <w:szCs w:val="22"/>
        </w:rPr>
        <w:t>Testing is underway and i</w:t>
      </w:r>
      <w:r w:rsidRPr="00E40F39">
        <w:rPr>
          <w:rStyle w:val="A3"/>
          <w:rFonts w:ascii="Arial" w:hAnsi="Arial" w:cs="Arial"/>
          <w:szCs w:val="22"/>
        </w:rPr>
        <w:t>t is expected this work will be complete</w:t>
      </w:r>
      <w:r w:rsidR="00E40F39" w:rsidRPr="00E40F39">
        <w:rPr>
          <w:rStyle w:val="A3"/>
          <w:rFonts w:ascii="Arial" w:hAnsi="Arial" w:cs="Arial"/>
          <w:szCs w:val="22"/>
        </w:rPr>
        <w:t xml:space="preserve"> December.</w:t>
      </w:r>
    </w:p>
    <w:p w:rsidR="00E747C2" w:rsidRDefault="004A52A0" w:rsidP="003E2B20">
      <w:pPr>
        <w:rPr>
          <w:rFonts w:ascii="Arial" w:hAnsi="Arial" w:cs="Arial"/>
          <w:sz w:val="22"/>
          <w:szCs w:val="22"/>
        </w:rPr>
      </w:pPr>
      <w:r>
        <w:rPr>
          <w:noProof/>
          <w:szCs w:val="22"/>
        </w:rPr>
        <w:lastRenderedPageBreak/>
        <w:drawing>
          <wp:inline distT="0" distB="0" distL="0" distR="0">
            <wp:extent cx="6124575" cy="389572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srcRect/>
                    <a:stretch>
                      <a:fillRect/>
                    </a:stretch>
                  </pic:blipFill>
                  <pic:spPr bwMode="auto">
                    <a:xfrm>
                      <a:off x="0" y="0"/>
                      <a:ext cx="6124575" cy="3895725"/>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909DC">
      <w:pPr>
        <w:spacing w:after="120"/>
        <w:ind w:left="-284"/>
        <w:jc w:val="both"/>
        <w:rPr>
          <w:rFonts w:ascii="Arial" w:hAnsi="Arial" w:cs="Arial"/>
          <w:b/>
          <w:sz w:val="22"/>
          <w:szCs w:val="22"/>
          <w:u w:val="single"/>
        </w:rPr>
      </w:pPr>
      <w:r w:rsidRPr="00863CA3">
        <w:rPr>
          <w:rFonts w:ascii="Arial" w:hAnsi="Arial" w:cs="Arial"/>
          <w:b/>
          <w:sz w:val="22"/>
          <w:szCs w:val="22"/>
          <w:u w:val="single"/>
        </w:rPr>
        <w:t>Other HAI Related Activity</w:t>
      </w:r>
    </w:p>
    <w:p w:rsidR="00E747C2" w:rsidRDefault="00E747C2"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9624AD" w:rsidRDefault="009624AD" w:rsidP="003909DC">
      <w:pPr>
        <w:spacing w:after="120"/>
        <w:ind w:left="-284"/>
        <w:jc w:val="both"/>
        <w:rPr>
          <w:rFonts w:ascii="Arial" w:hAnsi="Arial" w:cs="Arial"/>
          <w:b/>
          <w:sz w:val="22"/>
          <w:szCs w:val="22"/>
        </w:rPr>
      </w:pPr>
    </w:p>
    <w:p w:rsidR="00E747C2" w:rsidRDefault="004A52A0" w:rsidP="003909DC">
      <w:pPr>
        <w:spacing w:after="120"/>
        <w:ind w:left="-284"/>
        <w:jc w:val="both"/>
        <w:rPr>
          <w:rFonts w:ascii="Arial" w:hAnsi="Arial" w:cs="Arial"/>
          <w:b/>
          <w:sz w:val="22"/>
          <w:szCs w:val="22"/>
        </w:rPr>
      </w:pPr>
      <w:r>
        <w:rPr>
          <w:noProof/>
          <w:szCs w:val="22"/>
        </w:rPr>
        <w:drawing>
          <wp:inline distT="0" distB="0" distL="0" distR="0">
            <wp:extent cx="6115050" cy="13335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6115050" cy="1333500"/>
                    </a:xfrm>
                    <a:prstGeom prst="rect">
                      <a:avLst/>
                    </a:prstGeom>
                    <a:noFill/>
                    <a:ln w="9525">
                      <a:noFill/>
                      <a:miter lim="800000"/>
                      <a:headEnd/>
                      <a:tailEnd/>
                    </a:ln>
                  </pic:spPr>
                </pic:pic>
              </a:graphicData>
            </a:graphic>
          </wp:inline>
        </w:drawing>
      </w:r>
    </w:p>
    <w:p w:rsidR="00E747C2" w:rsidRPr="00FC4DA3" w:rsidRDefault="00E747C2" w:rsidP="00D77151">
      <w:pPr>
        <w:spacing w:after="120"/>
        <w:rPr>
          <w:rFonts w:ascii="Arial" w:hAnsi="Arial" w:cs="Arial"/>
          <w:b/>
          <w:sz w:val="22"/>
          <w:szCs w:val="22"/>
        </w:rPr>
      </w:pPr>
      <w:r w:rsidRPr="00FC4DA3">
        <w:rPr>
          <w:rFonts w:ascii="Arial" w:hAnsi="Arial" w:cs="Arial"/>
          <w:b/>
          <w:sz w:val="22"/>
          <w:szCs w:val="22"/>
        </w:rPr>
        <w:t>Long Term Patient Screening</w:t>
      </w:r>
    </w:p>
    <w:p w:rsidR="00E747C2" w:rsidRDefault="00E747C2"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E747C2" w:rsidRDefault="00E747C2"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SCN</w:t>
      </w:r>
      <w:r>
        <w:rPr>
          <w:rFonts w:ascii="Arial" w:hAnsi="Arial" w:cs="Arial"/>
          <w:sz w:val="22"/>
          <w:szCs w:val="22"/>
        </w:rPr>
        <w:t>'</w:t>
      </w:r>
      <w:r w:rsidRPr="00D71859">
        <w:rPr>
          <w:rFonts w:ascii="Arial" w:hAnsi="Arial" w:cs="Arial"/>
          <w:sz w:val="22"/>
          <w:szCs w:val="22"/>
        </w:rPr>
        <w:t xml:space="preserve">s are informed of results at the time of audit and action plan required to improve compliance </w:t>
      </w:r>
    </w:p>
    <w:p w:rsidR="00B670C9" w:rsidRDefault="00B77C4E" w:rsidP="00B670C9">
      <w:pPr>
        <w:rPr>
          <w:rFonts w:ascii="Arial" w:hAnsi="Arial" w:cs="Arial"/>
          <w:sz w:val="22"/>
          <w:szCs w:val="22"/>
        </w:rPr>
      </w:pPr>
      <w:r>
        <w:rPr>
          <w:rFonts w:ascii="Arial" w:hAnsi="Arial" w:cs="Arial"/>
          <w:b/>
          <w:sz w:val="22"/>
          <w:szCs w:val="22"/>
        </w:rPr>
        <w:t xml:space="preserve">August </w:t>
      </w:r>
      <w:r w:rsidR="00E747C2">
        <w:rPr>
          <w:rFonts w:ascii="Arial" w:hAnsi="Arial" w:cs="Arial"/>
          <w:b/>
          <w:sz w:val="22"/>
          <w:szCs w:val="22"/>
        </w:rPr>
        <w:t>Data</w:t>
      </w:r>
      <w:r w:rsidR="00B670C9" w:rsidRPr="00B670C9">
        <w:rPr>
          <w:rFonts w:ascii="Arial" w:hAnsi="Arial" w:cs="Arial"/>
          <w:sz w:val="22"/>
          <w:szCs w:val="22"/>
        </w:rPr>
        <w:t xml:space="preserve"> </w:t>
      </w:r>
    </w:p>
    <w:p w:rsidR="005B6208" w:rsidRDefault="005B6208" w:rsidP="00B670C9">
      <w:pPr>
        <w:rPr>
          <w:rFonts w:ascii="Arial" w:hAnsi="Arial" w:cs="Arial"/>
          <w:sz w:val="22"/>
          <w:szCs w:val="22"/>
        </w:rPr>
      </w:pPr>
      <w:r>
        <w:rPr>
          <w:rFonts w:ascii="Arial" w:hAnsi="Arial" w:cs="Arial"/>
          <w:sz w:val="22"/>
          <w:szCs w:val="22"/>
        </w:rPr>
        <w:t>Rationale for non compliance-</w:t>
      </w:r>
    </w:p>
    <w:p w:rsidR="00B670C9" w:rsidRDefault="00B77C4E" w:rsidP="00B670C9">
      <w:pPr>
        <w:rPr>
          <w:rFonts w:ascii="Arial" w:hAnsi="Arial" w:cs="Arial"/>
          <w:sz w:val="22"/>
          <w:szCs w:val="22"/>
        </w:rPr>
      </w:pPr>
      <w:r>
        <w:rPr>
          <w:rFonts w:ascii="Arial" w:hAnsi="Arial" w:cs="Arial"/>
          <w:sz w:val="22"/>
          <w:szCs w:val="22"/>
        </w:rPr>
        <w:t>Two patients were transferred between departments and screen omitted</w:t>
      </w:r>
      <w:r w:rsidR="00B670C9">
        <w:rPr>
          <w:rFonts w:ascii="Arial" w:hAnsi="Arial" w:cs="Arial"/>
          <w:sz w:val="22"/>
          <w:szCs w:val="22"/>
        </w:rPr>
        <w:t>.</w:t>
      </w:r>
    </w:p>
    <w:p w:rsidR="00B670C9" w:rsidRDefault="005B6208" w:rsidP="00B670C9">
      <w:pPr>
        <w:rPr>
          <w:rFonts w:ascii="Arial" w:hAnsi="Arial" w:cs="Arial"/>
          <w:sz w:val="22"/>
          <w:szCs w:val="22"/>
        </w:rPr>
      </w:pPr>
      <w:r>
        <w:rPr>
          <w:rFonts w:ascii="Arial" w:hAnsi="Arial" w:cs="Arial"/>
          <w:sz w:val="22"/>
          <w:szCs w:val="22"/>
        </w:rPr>
        <w:t>Remaining</w:t>
      </w:r>
      <w:r w:rsidR="00B670C9">
        <w:rPr>
          <w:rFonts w:ascii="Arial" w:hAnsi="Arial" w:cs="Arial"/>
          <w:sz w:val="22"/>
          <w:szCs w:val="22"/>
        </w:rPr>
        <w:t xml:space="preserve"> </w:t>
      </w:r>
      <w:r>
        <w:rPr>
          <w:rFonts w:ascii="Arial" w:hAnsi="Arial" w:cs="Arial"/>
          <w:sz w:val="22"/>
          <w:szCs w:val="22"/>
        </w:rPr>
        <w:t>non compliant screens were</w:t>
      </w:r>
      <w:r w:rsidR="00B670C9">
        <w:rPr>
          <w:rFonts w:ascii="Arial" w:hAnsi="Arial" w:cs="Arial"/>
          <w:sz w:val="22"/>
          <w:szCs w:val="22"/>
        </w:rPr>
        <w:t xml:space="preserve"> </w:t>
      </w:r>
      <w:r>
        <w:rPr>
          <w:rFonts w:ascii="Arial" w:hAnsi="Arial" w:cs="Arial"/>
          <w:sz w:val="22"/>
          <w:szCs w:val="22"/>
        </w:rPr>
        <w:t>omitted by the department</w:t>
      </w:r>
      <w:r w:rsidR="00B670C9">
        <w:rPr>
          <w:rFonts w:ascii="Arial" w:hAnsi="Arial" w:cs="Arial"/>
          <w:sz w:val="22"/>
          <w:szCs w:val="22"/>
        </w:rPr>
        <w:t>.</w:t>
      </w:r>
    </w:p>
    <w:p w:rsidR="00E747C2" w:rsidRDefault="00E747C2" w:rsidP="004837C4">
      <w:pPr>
        <w:spacing w:after="120"/>
        <w:ind w:left="-284"/>
        <w:jc w:val="both"/>
        <w:rPr>
          <w:rFonts w:ascii="Arial" w:hAnsi="Arial" w:cs="Arial"/>
          <w:b/>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proofErr w:type="spellStart"/>
      <w:r w:rsidRPr="008B4214">
        <w:rPr>
          <w:rFonts w:ascii="Arial" w:hAnsi="Arial" w:cs="Arial"/>
          <w:i/>
          <w:sz w:val="20"/>
          <w:szCs w:val="20"/>
          <w:lang w:val="fr-FR"/>
        </w:rPr>
        <w:t>Clostridium</w:t>
      </w:r>
      <w:proofErr w:type="spellEnd"/>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5"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6"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7"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616FB3" w:rsidP="002D4C8A">
      <w:pPr>
        <w:jc w:val="both"/>
        <w:rPr>
          <w:rFonts w:ascii="Arial" w:hAnsi="Arial" w:cs="Arial"/>
          <w:sz w:val="20"/>
          <w:szCs w:val="20"/>
        </w:rPr>
      </w:pPr>
      <w:hyperlink r:id="rId28"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616FB3" w:rsidP="002D4C8A">
      <w:pPr>
        <w:jc w:val="both"/>
        <w:rPr>
          <w:rFonts w:ascii="Arial" w:hAnsi="Arial" w:cs="Arial"/>
          <w:color w:val="000000"/>
          <w:sz w:val="20"/>
          <w:szCs w:val="20"/>
        </w:rPr>
      </w:pPr>
      <w:hyperlink r:id="rId29"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0"/>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5"/>
        <w:gridCol w:w="622"/>
        <w:gridCol w:w="616"/>
        <w:gridCol w:w="616"/>
        <w:gridCol w:w="616"/>
        <w:gridCol w:w="614"/>
        <w:gridCol w:w="614"/>
        <w:gridCol w:w="611"/>
        <w:gridCol w:w="611"/>
        <w:gridCol w:w="611"/>
        <w:gridCol w:w="602"/>
        <w:gridCol w:w="600"/>
        <w:gridCol w:w="598"/>
        <w:gridCol w:w="594"/>
      </w:tblGrid>
      <w:tr w:rsidR="006B72E8" w:rsidRPr="00B13609" w:rsidTr="006B72E8">
        <w:trPr>
          <w:trHeight w:val="276"/>
        </w:trPr>
        <w:tc>
          <w:tcPr>
            <w:tcW w:w="679" w:type="pct"/>
            <w:tcBorders>
              <w:top w:val="nil"/>
              <w:left w:val="nil"/>
            </w:tcBorders>
          </w:tcPr>
          <w:p w:rsidR="006B72E8" w:rsidRPr="00483F31"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6B72E8" w:rsidRDefault="006B72E8"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6B72E8" w:rsidRDefault="006B72E8"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6B72E8" w:rsidRDefault="006D0E36"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6D0E36" w:rsidRDefault="006D0E36"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B72E8" w:rsidRPr="00B13609" w:rsidTr="006B72E8">
        <w:trPr>
          <w:trHeight w:val="276"/>
        </w:trPr>
        <w:tc>
          <w:tcPr>
            <w:tcW w:w="679" w:type="pct"/>
          </w:tcPr>
          <w:p w:rsidR="006B72E8" w:rsidRPr="00483F31"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6B72E8" w:rsidRDefault="006B72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6B72E8" w:rsidRDefault="00E40F3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B72E8" w:rsidRPr="00B13609" w:rsidTr="006B72E8">
        <w:trPr>
          <w:trHeight w:val="276"/>
        </w:trPr>
        <w:tc>
          <w:tcPr>
            <w:tcW w:w="679" w:type="pct"/>
          </w:tcPr>
          <w:p w:rsidR="006B72E8" w:rsidRPr="00483F31"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39"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6"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6"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3"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3"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6B72E8" w:rsidRDefault="006B72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6B72E8" w:rsidRDefault="006D0E3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r>
      <w:tr w:rsidR="006B72E8" w:rsidRPr="00B13609" w:rsidTr="006B72E8">
        <w:trPr>
          <w:trHeight w:val="276"/>
        </w:trPr>
        <w:tc>
          <w:tcPr>
            <w:tcW w:w="679" w:type="pct"/>
          </w:tcPr>
          <w:p w:rsidR="006B72E8" w:rsidRPr="00483F31"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39"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6"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6"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3"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3"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6B72E8" w:rsidRDefault="006B72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6B72E8" w:rsidRDefault="006D0E3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1"/>
        <w:gridCol w:w="672"/>
        <w:gridCol w:w="672"/>
        <w:gridCol w:w="672"/>
        <w:gridCol w:w="672"/>
        <w:gridCol w:w="670"/>
        <w:gridCol w:w="668"/>
        <w:gridCol w:w="668"/>
        <w:gridCol w:w="664"/>
        <w:gridCol w:w="658"/>
        <w:gridCol w:w="651"/>
        <w:gridCol w:w="651"/>
        <w:gridCol w:w="649"/>
        <w:gridCol w:w="649"/>
      </w:tblGrid>
      <w:tr w:rsidR="006B72E8" w:rsidRPr="00424632" w:rsidTr="006B72E8">
        <w:trPr>
          <w:trHeight w:val="286"/>
        </w:trPr>
        <w:tc>
          <w:tcPr>
            <w:tcW w:w="603" w:type="pct"/>
          </w:tcPr>
          <w:p w:rsidR="006B72E8" w:rsidRPr="00424632"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1" w:type="pct"/>
          </w:tcPr>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1" w:type="pct"/>
          </w:tcPr>
          <w:p w:rsidR="006D0E36"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6B72E8"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B72E8" w:rsidRPr="00424632" w:rsidTr="006B72E8">
        <w:trPr>
          <w:trHeight w:val="286"/>
        </w:trPr>
        <w:tc>
          <w:tcPr>
            <w:tcW w:w="603" w:type="pct"/>
          </w:tcPr>
          <w:p w:rsidR="006B72E8" w:rsidRPr="008D5EEE"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B72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D0E3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B72E8" w:rsidRPr="00424632" w:rsidTr="006B72E8">
        <w:trPr>
          <w:trHeight w:val="286"/>
        </w:trPr>
        <w:tc>
          <w:tcPr>
            <w:tcW w:w="603" w:type="pct"/>
          </w:tcPr>
          <w:p w:rsidR="006B72E8" w:rsidRPr="008D5EEE" w:rsidRDefault="006B72E8"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shd w:val="clear" w:color="auto" w:fill="D9D9D9" w:themeFill="background1" w:themeFillShade="D9"/>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6" w:type="pct"/>
            <w:shd w:val="clear" w:color="auto" w:fill="FFFFFF" w:themeFill="background1"/>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B72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D0E3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B72E8" w:rsidRPr="00424632" w:rsidTr="006B72E8">
        <w:trPr>
          <w:trHeight w:val="286"/>
        </w:trPr>
        <w:tc>
          <w:tcPr>
            <w:tcW w:w="603" w:type="pct"/>
          </w:tcPr>
          <w:p w:rsidR="006B72E8" w:rsidRPr="008D5EEE" w:rsidRDefault="006B72E8"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B72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6B72E8" w:rsidRDefault="006D0E3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1"/>
        <w:gridCol w:w="689"/>
        <w:gridCol w:w="678"/>
        <w:gridCol w:w="676"/>
        <w:gridCol w:w="676"/>
        <w:gridCol w:w="666"/>
        <w:gridCol w:w="664"/>
        <w:gridCol w:w="664"/>
        <w:gridCol w:w="664"/>
        <w:gridCol w:w="664"/>
        <w:gridCol w:w="664"/>
        <w:gridCol w:w="662"/>
        <w:gridCol w:w="658"/>
        <w:gridCol w:w="658"/>
      </w:tblGrid>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50"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4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4"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4"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9"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D0E36"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6B72E8"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50"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5"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39"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50"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5"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39"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37" w:type="pct"/>
          </w:tcPr>
          <w:p w:rsidR="006B72E8" w:rsidRPr="007709B6"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6B72E8" w:rsidRPr="007709B6"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50"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5"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39"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50"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5"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39"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B72E8" w:rsidRPr="00194B34" w:rsidTr="006B72E8">
        <w:trPr>
          <w:trHeight w:val="276"/>
        </w:trPr>
        <w:tc>
          <w:tcPr>
            <w:tcW w:w="580"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0"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5"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4"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39"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8" w:type="pct"/>
          </w:tcPr>
          <w:p w:rsidR="006B72E8" w:rsidRPr="004D5D23"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8"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7"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35" w:type="pct"/>
          </w:tcPr>
          <w:p w:rsidR="006B72E8" w:rsidRDefault="006B72E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7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627"/>
        <w:gridCol w:w="627"/>
        <w:gridCol w:w="627"/>
        <w:gridCol w:w="627"/>
        <w:gridCol w:w="619"/>
        <w:gridCol w:w="627"/>
        <w:gridCol w:w="627"/>
        <w:gridCol w:w="628"/>
        <w:gridCol w:w="628"/>
        <w:gridCol w:w="628"/>
        <w:gridCol w:w="620"/>
        <w:gridCol w:w="628"/>
        <w:gridCol w:w="627"/>
      </w:tblGrid>
      <w:tr w:rsidR="006B72E8" w:rsidRPr="00194B34" w:rsidTr="006B72E8">
        <w:trPr>
          <w:trHeight w:val="276"/>
        </w:trPr>
        <w:tc>
          <w:tcPr>
            <w:tcW w:w="643"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6D0E36"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6B72E8"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B72E8" w:rsidRPr="00194B34" w:rsidTr="006B72E8">
        <w:trPr>
          <w:trHeight w:val="276"/>
        </w:trPr>
        <w:tc>
          <w:tcPr>
            <w:tcW w:w="643"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98.46</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98.16</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98.27</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98.48</w:t>
            </w:r>
          </w:p>
        </w:tc>
        <w:tc>
          <w:tcPr>
            <w:tcW w:w="332" w:type="pct"/>
          </w:tcPr>
          <w:p w:rsidR="006B72E8" w:rsidRDefault="006B72E8" w:rsidP="00EB73B3">
            <w:pPr>
              <w:rPr>
                <w:rFonts w:ascii="Arial Narrow" w:hAnsi="Arial Narrow"/>
                <w:sz w:val="20"/>
                <w:szCs w:val="20"/>
              </w:rPr>
            </w:pPr>
            <w:r>
              <w:rPr>
                <w:rFonts w:ascii="Arial Narrow" w:hAnsi="Arial Narrow"/>
                <w:sz w:val="20"/>
                <w:szCs w:val="20"/>
              </w:rPr>
              <w:t>98.5</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99.05</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97.65</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98.61</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99.17</w:t>
            </w:r>
          </w:p>
        </w:tc>
        <w:tc>
          <w:tcPr>
            <w:tcW w:w="336" w:type="pct"/>
          </w:tcPr>
          <w:p w:rsidR="006B72E8" w:rsidRDefault="006B72E8" w:rsidP="00EB73B3">
            <w:pPr>
              <w:rPr>
                <w:rFonts w:ascii="Arial Narrow" w:hAnsi="Arial Narrow"/>
                <w:sz w:val="20"/>
                <w:szCs w:val="20"/>
              </w:rPr>
            </w:pPr>
            <w:r>
              <w:rPr>
                <w:rFonts w:ascii="Arial Narrow" w:hAnsi="Arial Narrow"/>
                <w:sz w:val="20"/>
                <w:szCs w:val="20"/>
              </w:rPr>
              <w:t>98.42</w:t>
            </w:r>
          </w:p>
        </w:tc>
        <w:tc>
          <w:tcPr>
            <w:tcW w:w="332" w:type="pct"/>
          </w:tcPr>
          <w:p w:rsidR="006B72E8" w:rsidRDefault="006B72E8" w:rsidP="00EB73B3">
            <w:pPr>
              <w:rPr>
                <w:rFonts w:ascii="Arial Narrow" w:hAnsi="Arial Narrow"/>
                <w:sz w:val="20"/>
                <w:szCs w:val="20"/>
              </w:rPr>
            </w:pPr>
            <w:r>
              <w:rPr>
                <w:rFonts w:ascii="Arial Narrow" w:hAnsi="Arial Narrow"/>
                <w:sz w:val="20"/>
                <w:szCs w:val="20"/>
              </w:rPr>
              <w:t>98.6</w:t>
            </w:r>
          </w:p>
        </w:tc>
        <w:tc>
          <w:tcPr>
            <w:tcW w:w="336" w:type="pct"/>
          </w:tcPr>
          <w:p w:rsidR="006B72E8" w:rsidRDefault="006B72E8">
            <w:pPr>
              <w:rPr>
                <w:rFonts w:ascii="Arial Narrow" w:hAnsi="Arial Narrow"/>
                <w:sz w:val="20"/>
                <w:szCs w:val="20"/>
              </w:rPr>
            </w:pPr>
            <w:r>
              <w:rPr>
                <w:rFonts w:ascii="Arial Narrow" w:hAnsi="Arial Narrow"/>
                <w:sz w:val="20"/>
                <w:szCs w:val="20"/>
              </w:rPr>
              <w:t>98.48</w:t>
            </w:r>
          </w:p>
        </w:tc>
        <w:tc>
          <w:tcPr>
            <w:tcW w:w="336" w:type="pct"/>
          </w:tcPr>
          <w:p w:rsidR="006B72E8" w:rsidRDefault="006D0E36">
            <w:pPr>
              <w:rPr>
                <w:rFonts w:ascii="Arial Narrow" w:hAnsi="Arial Narrow"/>
                <w:sz w:val="20"/>
                <w:szCs w:val="20"/>
              </w:rPr>
            </w:pPr>
            <w:r>
              <w:rPr>
                <w:rFonts w:ascii="Arial Narrow" w:hAnsi="Arial Narrow"/>
                <w:sz w:val="20"/>
                <w:szCs w:val="20"/>
              </w:rPr>
              <w:t>98.21</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9"/>
        <w:gridCol w:w="627"/>
        <w:gridCol w:w="627"/>
        <w:gridCol w:w="627"/>
        <w:gridCol w:w="628"/>
        <w:gridCol w:w="628"/>
        <w:gridCol w:w="628"/>
        <w:gridCol w:w="628"/>
        <w:gridCol w:w="628"/>
        <w:gridCol w:w="628"/>
        <w:gridCol w:w="628"/>
        <w:gridCol w:w="628"/>
        <w:gridCol w:w="628"/>
        <w:gridCol w:w="627"/>
      </w:tblGrid>
      <w:tr w:rsidR="006B72E8" w:rsidRPr="00194B34" w:rsidTr="006B72E8">
        <w:trPr>
          <w:trHeight w:val="276"/>
        </w:trPr>
        <w:tc>
          <w:tcPr>
            <w:tcW w:w="646"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6B72E8" w:rsidRDefault="006B72E8"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6D0E36"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6B72E8" w:rsidRDefault="006D0E36"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B72E8" w:rsidRPr="00194B34" w:rsidTr="006B72E8">
        <w:trPr>
          <w:trHeight w:val="276"/>
        </w:trPr>
        <w:tc>
          <w:tcPr>
            <w:tcW w:w="646" w:type="pct"/>
          </w:tcPr>
          <w:p w:rsidR="006B72E8" w:rsidRPr="00194B34" w:rsidRDefault="006B72E8"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35" w:type="pct"/>
          </w:tcPr>
          <w:p w:rsidR="006B72E8" w:rsidRDefault="006B72E8"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35" w:type="pct"/>
          </w:tcPr>
          <w:p w:rsidR="006B72E8" w:rsidRDefault="006B72E8"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35" w:type="pct"/>
          </w:tcPr>
          <w:p w:rsidR="006B72E8" w:rsidRDefault="006D0E36"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1"/>
          <w:headerReference w:type="default" r:id="rId32"/>
          <w:headerReference w:type="first" r:id="rId33"/>
          <w:pgSz w:w="11906" w:h="16838" w:code="9"/>
          <w:pgMar w:top="1134" w:right="1134" w:bottom="1134" w:left="1134" w:header="567" w:footer="567" w:gutter="0"/>
          <w:cols w:space="708"/>
          <w:docGrid w:linePitch="360"/>
        </w:sectPr>
      </w:pPr>
    </w:p>
    <w:p w:rsidR="00E747C2" w:rsidRDefault="00616FB3" w:rsidP="008C6465">
      <w:pPr>
        <w:spacing w:after="120"/>
        <w:rPr>
          <w:rFonts w:ascii="Arial" w:hAnsi="Arial"/>
          <w:b/>
          <w:szCs w:val="20"/>
          <w:lang w:eastAsia="en-US"/>
        </w:rPr>
      </w:pPr>
      <w:r w:rsidRPr="00616FB3">
        <w:rPr>
          <w:noProof/>
        </w:rPr>
        <w:lastRenderedPageBreak/>
        <w:pict>
          <v:shape id="_x0000_s1084" type="#_x0000_t202" style="position:absolute;margin-left:589.05pt;margin-top:-40.2pt;width:139.5pt;height:99pt;z-index:251664384">
            <v:textbox style="mso-next-textbox:#_x0000_s1084">
              <w:txbxContent>
                <w:p w:rsidR="00747837" w:rsidRPr="00092AB9" w:rsidRDefault="00747837" w:rsidP="00C868CC">
                  <w:pPr>
                    <w:rPr>
                      <w:rFonts w:ascii="Arial Narrow" w:hAnsi="Arial Narrow"/>
                      <w:b/>
                      <w:sz w:val="18"/>
                      <w:szCs w:val="18"/>
                    </w:rPr>
                  </w:pPr>
                  <w:r w:rsidRPr="00092AB9">
                    <w:rPr>
                      <w:rFonts w:ascii="Arial Narrow" w:hAnsi="Arial Narrow"/>
                      <w:b/>
                      <w:sz w:val="18"/>
                      <w:szCs w:val="18"/>
                    </w:rPr>
                    <w:t>Valve +/- CABG</w:t>
                  </w:r>
                </w:p>
                <w:p w:rsidR="00747837" w:rsidRPr="00092AB9" w:rsidRDefault="00747837" w:rsidP="00C868CC">
                  <w:pPr>
                    <w:rPr>
                      <w:rFonts w:ascii="Arial Narrow" w:hAnsi="Arial Narrow"/>
                      <w:sz w:val="18"/>
                      <w:szCs w:val="18"/>
                    </w:rPr>
                  </w:pPr>
                  <w:r w:rsidRPr="00092AB9">
                    <w:rPr>
                      <w:rFonts w:ascii="Arial Narrow" w:hAnsi="Arial Narrow"/>
                      <w:sz w:val="18"/>
                      <w:szCs w:val="18"/>
                    </w:rPr>
                    <w:t xml:space="preserve">Nov16- 1 Superficial Sternum </w:t>
                  </w:r>
                </w:p>
                <w:p w:rsidR="00747837" w:rsidRPr="00092AB9" w:rsidRDefault="00747837" w:rsidP="00C868CC">
                  <w:pPr>
                    <w:rPr>
                      <w:rFonts w:ascii="Arial Narrow" w:hAnsi="Arial Narrow"/>
                      <w:sz w:val="18"/>
                      <w:szCs w:val="18"/>
                    </w:rPr>
                  </w:pPr>
                  <w:r w:rsidRPr="00092AB9">
                    <w:rPr>
                      <w:rFonts w:ascii="Arial Narrow" w:hAnsi="Arial Narrow"/>
                      <w:sz w:val="18"/>
                      <w:szCs w:val="18"/>
                    </w:rPr>
                    <w:t>Dec 16 – 2 Deep Sternum</w:t>
                  </w:r>
                </w:p>
                <w:p w:rsidR="00747837" w:rsidRPr="00092AB9" w:rsidRDefault="00747837" w:rsidP="00C868CC">
                  <w:pPr>
                    <w:rPr>
                      <w:rFonts w:ascii="Arial Narrow" w:hAnsi="Arial Narrow"/>
                      <w:sz w:val="18"/>
                      <w:szCs w:val="18"/>
                    </w:rPr>
                  </w:pPr>
                  <w:r w:rsidRPr="00092AB9">
                    <w:rPr>
                      <w:rFonts w:ascii="Arial Narrow" w:hAnsi="Arial Narrow"/>
                      <w:sz w:val="18"/>
                      <w:szCs w:val="18"/>
                    </w:rPr>
                    <w:t>Jan 17 – 4 Superficial Sternum</w:t>
                  </w:r>
                </w:p>
                <w:p w:rsidR="00747837" w:rsidRPr="00092AB9" w:rsidRDefault="00747837" w:rsidP="00C868CC">
                  <w:pPr>
                    <w:rPr>
                      <w:rFonts w:ascii="Arial Narrow" w:hAnsi="Arial Narrow"/>
                      <w:sz w:val="18"/>
                      <w:szCs w:val="18"/>
                    </w:rPr>
                  </w:pPr>
                  <w:r w:rsidRPr="00092AB9">
                    <w:rPr>
                      <w:rFonts w:ascii="Arial Narrow" w:hAnsi="Arial Narrow"/>
                      <w:sz w:val="18"/>
                      <w:szCs w:val="18"/>
                    </w:rPr>
                    <w:t>Feb 17- 2 Superficial Sternum</w:t>
                  </w:r>
                </w:p>
                <w:p w:rsidR="00747837" w:rsidRPr="00092AB9" w:rsidRDefault="00747837" w:rsidP="00C868CC">
                  <w:pPr>
                    <w:rPr>
                      <w:rFonts w:ascii="Arial Narrow" w:hAnsi="Arial Narrow"/>
                      <w:sz w:val="18"/>
                      <w:szCs w:val="18"/>
                    </w:rPr>
                  </w:pPr>
                  <w:r w:rsidRPr="00092AB9">
                    <w:rPr>
                      <w:rFonts w:ascii="Arial Narrow" w:hAnsi="Arial Narrow"/>
                      <w:sz w:val="18"/>
                      <w:szCs w:val="18"/>
                    </w:rPr>
                    <w:t>Mar 17- 1 Superficial Sternum</w:t>
                  </w:r>
                </w:p>
                <w:p w:rsidR="00747837" w:rsidRPr="00092AB9" w:rsidRDefault="00747837" w:rsidP="00C868CC">
                  <w:pPr>
                    <w:rPr>
                      <w:rFonts w:ascii="Arial Narrow" w:hAnsi="Arial Narrow"/>
                      <w:sz w:val="18"/>
                      <w:szCs w:val="18"/>
                    </w:rPr>
                  </w:pPr>
                  <w:r w:rsidRPr="00092AB9">
                    <w:rPr>
                      <w:rFonts w:ascii="Arial Narrow" w:hAnsi="Arial Narrow"/>
                      <w:sz w:val="18"/>
                      <w:szCs w:val="18"/>
                    </w:rPr>
                    <w:t>May 17- 1 Superficial Sternum</w:t>
                  </w:r>
                </w:p>
                <w:p w:rsidR="00747837" w:rsidRPr="00092AB9" w:rsidRDefault="00747837" w:rsidP="00C868CC">
                  <w:pPr>
                    <w:rPr>
                      <w:rFonts w:ascii="Arial Narrow" w:hAnsi="Arial Narrow"/>
                      <w:sz w:val="18"/>
                      <w:szCs w:val="18"/>
                    </w:rPr>
                  </w:pPr>
                  <w:r w:rsidRPr="00092AB9">
                    <w:rPr>
                      <w:rFonts w:ascii="Arial Narrow" w:hAnsi="Arial Narrow"/>
                      <w:sz w:val="18"/>
                      <w:szCs w:val="18"/>
                    </w:rPr>
                    <w:t>Jun 17- 2 Superficial Leg</w:t>
                  </w:r>
                </w:p>
                <w:p w:rsidR="00747837" w:rsidRPr="00092AB9" w:rsidRDefault="00747837" w:rsidP="00C868CC">
                  <w:pPr>
                    <w:rPr>
                      <w:rFonts w:ascii="Arial Narrow" w:hAnsi="Arial Narrow"/>
                      <w:sz w:val="18"/>
                      <w:szCs w:val="18"/>
                    </w:rPr>
                  </w:pPr>
                  <w:r w:rsidRPr="00092AB9">
                    <w:rPr>
                      <w:rFonts w:ascii="Arial Narrow" w:hAnsi="Arial Narrow"/>
                      <w:sz w:val="18"/>
                      <w:szCs w:val="18"/>
                    </w:rPr>
                    <w:t>Jul 17 – 1 Superficial Sternum</w:t>
                  </w:r>
                </w:p>
                <w:p w:rsidR="00747837" w:rsidRPr="00CC29AB" w:rsidRDefault="00747837" w:rsidP="00C868CC">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616FB3" w:rsidP="00B443D6">
      <w:pPr>
        <w:tabs>
          <w:tab w:val="left" w:pos="1065"/>
        </w:tabs>
        <w:rPr>
          <w:noProof/>
          <w:lang w:val="en-US" w:eastAsia="en-US"/>
        </w:rPr>
      </w:pPr>
      <w:r>
        <w:rPr>
          <w:noProof/>
        </w:rPr>
        <w:pict>
          <v:shape id="_x0000_s1036" type="#_x0000_t202" style="position:absolute;margin-left:581.55pt;margin-top:151.2pt;width:187.5pt;height:111pt;z-index:251661312">
            <v:textbox style="mso-next-textbox:#_x0000_s1036">
              <w:txbxContent>
                <w:p w:rsidR="00747837" w:rsidRPr="008B6409" w:rsidRDefault="00747837" w:rsidP="00A51714">
                  <w:pPr>
                    <w:rPr>
                      <w:rFonts w:ascii="Arial Narrow" w:hAnsi="Arial Narrow"/>
                      <w:b/>
                      <w:sz w:val="18"/>
                      <w:szCs w:val="18"/>
                    </w:rPr>
                  </w:pPr>
                  <w:r w:rsidRPr="008B6409">
                    <w:rPr>
                      <w:rFonts w:ascii="Arial Narrow" w:hAnsi="Arial Narrow"/>
                      <w:b/>
                      <w:sz w:val="18"/>
                      <w:szCs w:val="18"/>
                    </w:rPr>
                    <w:t>CABG</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Jul 16- I Sup Sternum</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Sept 16- 3 Sup Sternum</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 xml:space="preserve">Oct 16- 1 Organ Space </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Dec 16 – 2 Superficial Sternum</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Jan 17 – 2 Superficial Sternum</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Feb 17- 2 Superficial Sternum</w:t>
                  </w:r>
                </w:p>
                <w:p w:rsidR="00747837" w:rsidRPr="008B6409" w:rsidRDefault="00747837" w:rsidP="00A51714">
                  <w:pPr>
                    <w:ind w:left="567" w:hanging="567"/>
                    <w:rPr>
                      <w:rFonts w:ascii="Arial Narrow" w:hAnsi="Arial Narrow"/>
                      <w:sz w:val="18"/>
                      <w:szCs w:val="18"/>
                    </w:rPr>
                  </w:pPr>
                  <w:r w:rsidRPr="008B6409">
                    <w:rPr>
                      <w:rFonts w:ascii="Arial Narrow" w:hAnsi="Arial Narrow"/>
                      <w:sz w:val="18"/>
                      <w:szCs w:val="18"/>
                    </w:rPr>
                    <w:t>Mar 17-2 Superficial Sternum/ 1 Superficial Leg</w:t>
                  </w:r>
                </w:p>
                <w:p w:rsidR="00747837" w:rsidRDefault="00747837" w:rsidP="00A51714">
                  <w:pPr>
                    <w:ind w:left="567" w:hanging="567"/>
                    <w:rPr>
                      <w:rFonts w:ascii="Arial Narrow" w:hAnsi="Arial Narrow"/>
                      <w:sz w:val="20"/>
                      <w:szCs w:val="20"/>
                    </w:rPr>
                  </w:pPr>
                  <w:r w:rsidRPr="008B6409">
                    <w:rPr>
                      <w:rFonts w:ascii="Arial Narrow" w:hAnsi="Arial Narrow"/>
                      <w:sz w:val="18"/>
                      <w:szCs w:val="18"/>
                    </w:rPr>
                    <w:t>May 17- 2 Superficial Sternum</w:t>
                  </w:r>
                </w:p>
                <w:p w:rsidR="00747837" w:rsidRDefault="00747837" w:rsidP="00A51714">
                  <w:pPr>
                    <w:ind w:left="567" w:hanging="567"/>
                    <w:rPr>
                      <w:rFonts w:ascii="Arial Narrow" w:hAnsi="Arial Narrow"/>
                      <w:sz w:val="20"/>
                      <w:szCs w:val="20"/>
                    </w:rPr>
                  </w:pPr>
                  <w:r>
                    <w:rPr>
                      <w:rFonts w:ascii="Arial Narrow" w:hAnsi="Arial Narrow"/>
                      <w:sz w:val="20"/>
                      <w:szCs w:val="20"/>
                    </w:rPr>
                    <w:t>Jun17- 1 Superficial leg</w:t>
                  </w:r>
                </w:p>
                <w:p w:rsidR="00747837" w:rsidRDefault="00747837" w:rsidP="00A51714">
                  <w:pPr>
                    <w:rPr>
                      <w:rFonts w:ascii="Arial Narrow" w:hAnsi="Arial Narrow"/>
                      <w:sz w:val="20"/>
                      <w:szCs w:val="20"/>
                    </w:rPr>
                  </w:pPr>
                </w:p>
                <w:p w:rsidR="00747837" w:rsidRPr="00B443D6" w:rsidRDefault="00747837" w:rsidP="00A51714">
                  <w:pPr>
                    <w:rPr>
                      <w:rFonts w:ascii="Arial Narrow" w:hAnsi="Arial Narrow"/>
                      <w:sz w:val="20"/>
                      <w:szCs w:val="20"/>
                    </w:rPr>
                  </w:pPr>
                </w:p>
              </w:txbxContent>
            </v:textbox>
          </v:shape>
        </w:pict>
      </w:r>
      <w:r w:rsidR="00E747C2" w:rsidRPr="000436F3">
        <w:rPr>
          <w:noProof/>
          <w:lang w:val="en-US" w:eastAsia="en-US"/>
        </w:rPr>
        <w:t xml:space="preserve"> </w:t>
      </w:r>
      <w:r w:rsidR="004A52A0">
        <w:rPr>
          <w:noProof/>
        </w:rPr>
        <w:drawing>
          <wp:inline distT="0" distB="0" distL="0" distR="0">
            <wp:extent cx="9239250" cy="1971675"/>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srcRect/>
                    <a:stretch>
                      <a:fillRect/>
                    </a:stretch>
                  </pic:blipFill>
                  <pic:spPr bwMode="auto">
                    <a:xfrm>
                      <a:off x="0" y="0"/>
                      <a:ext cx="9239250" cy="1971675"/>
                    </a:xfrm>
                    <a:prstGeom prst="rect">
                      <a:avLst/>
                    </a:prstGeom>
                    <a:noFill/>
                    <a:ln w="9525">
                      <a:noFill/>
                      <a:miter lim="800000"/>
                      <a:headEnd/>
                      <a:tailEnd/>
                    </a:ln>
                  </pic:spPr>
                </pic:pic>
              </a:graphicData>
            </a:graphic>
          </wp:inline>
        </w:drawing>
      </w:r>
    </w:p>
    <w:p w:rsidR="00E747C2" w:rsidRPr="00067E5F" w:rsidRDefault="00E747C2" w:rsidP="008C1A05">
      <w:pPr>
        <w:pStyle w:val="Default"/>
        <w:rPr>
          <w:noProof/>
          <w:szCs w:val="20"/>
        </w:rPr>
      </w:pPr>
      <w:r w:rsidRPr="00231C3C">
        <w:rPr>
          <w:noProof/>
          <w:szCs w:val="20"/>
        </w:rPr>
        <w:t xml:space="preserve"> </w:t>
      </w:r>
    </w:p>
    <w:p w:rsidR="00E747C2" w:rsidRDefault="006D16B6" w:rsidP="008C1A05">
      <w:pPr>
        <w:pStyle w:val="Default"/>
        <w:rPr>
          <w:b/>
          <w:szCs w:val="20"/>
        </w:rPr>
      </w:pPr>
      <w:r w:rsidRPr="006D16B6">
        <w:rPr>
          <w:b/>
          <w:szCs w:val="20"/>
        </w:rPr>
        <w:t xml:space="preserve"> </w:t>
      </w:r>
      <w:r w:rsidR="004A52A0">
        <w:rPr>
          <w:noProof/>
          <w:szCs w:val="20"/>
          <w:lang w:val="en-GB" w:eastAsia="en-GB"/>
        </w:rPr>
        <w:drawing>
          <wp:inline distT="0" distB="0" distL="0" distR="0">
            <wp:extent cx="9229725" cy="2276475"/>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srcRect/>
                    <a:stretch>
                      <a:fillRect/>
                    </a:stretch>
                  </pic:blipFill>
                  <pic:spPr bwMode="auto">
                    <a:xfrm>
                      <a:off x="0" y="0"/>
                      <a:ext cx="9229725" cy="2276475"/>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8C1A05">
      <w:pPr>
        <w:pStyle w:val="Default"/>
        <w:rPr>
          <w:bCs/>
          <w:sz w:val="22"/>
          <w:szCs w:val="22"/>
        </w:rPr>
      </w:pPr>
    </w:p>
    <w:p w:rsidR="00E747C2" w:rsidRDefault="00E747C2" w:rsidP="008C1A05">
      <w:pPr>
        <w:pStyle w:val="Default"/>
        <w:rPr>
          <w:bCs/>
          <w:sz w:val="22"/>
          <w:szCs w:val="22"/>
        </w:rPr>
      </w:pPr>
    </w:p>
    <w:p w:rsidR="00E747C2" w:rsidRDefault="00E747C2" w:rsidP="00302611">
      <w:pPr>
        <w:rPr>
          <w:rFonts w:ascii="Arial" w:hAnsi="Arial" w:cs="Arial"/>
          <w:sz w:val="20"/>
          <w:szCs w:val="20"/>
        </w:rPr>
      </w:pPr>
    </w:p>
    <w:p w:rsidR="00E747C2" w:rsidRDefault="00E747C2" w:rsidP="00EF53BB">
      <w:pPr>
        <w:rPr>
          <w:rFonts w:ascii="Arial" w:hAnsi="Arial" w:cs="Arial"/>
          <w:b/>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p>
    <w:p w:rsidR="00E747C2" w:rsidRPr="00D47D89" w:rsidRDefault="00E747C2" w:rsidP="00CD3055">
      <w:r w:rsidRPr="001204BB">
        <w:rPr>
          <w:rFonts w:ascii="Arial" w:hAnsi="Arial" w:cs="Arial"/>
          <w:b/>
        </w:rPr>
        <w:t xml:space="preserve">Infection rates remain below the upper control limit </w:t>
      </w:r>
    </w:p>
    <w:p w:rsidR="00E747C2" w:rsidRDefault="00616FB3" w:rsidP="00B206EA">
      <w:pPr>
        <w:tabs>
          <w:tab w:val="left" w:pos="0"/>
          <w:tab w:val="left" w:pos="1440"/>
          <w:tab w:val="left" w:pos="2160"/>
          <w:tab w:val="left" w:pos="2880"/>
          <w:tab w:val="left" w:pos="4680"/>
          <w:tab w:val="left" w:pos="5400"/>
          <w:tab w:val="right" w:pos="9000"/>
        </w:tabs>
        <w:jc w:val="both"/>
        <w:rPr>
          <w:rFonts w:ascii="Arial" w:hAnsi="Arial"/>
          <w:szCs w:val="20"/>
          <w:lang w:eastAsia="en-US"/>
        </w:rPr>
      </w:pPr>
      <w:r w:rsidRPr="00616FB3">
        <w:rPr>
          <w:noProof/>
          <w:lang w:val="en-US" w:eastAsia="en-US"/>
        </w:rPr>
        <w:pict>
          <v:shape id="_x0000_s1038" type="#_x0000_t202" style="position:absolute;left:0;text-align:left;margin-left:564pt;margin-top:4.5pt;width:151.5pt;height:57.2pt;z-index:251660288">
            <v:textbox style="mso-next-textbox:#_x0000_s1038">
              <w:txbxContent>
                <w:p w:rsidR="00747837" w:rsidRPr="00FD3AF4" w:rsidRDefault="00747837" w:rsidP="000F0E6B">
                  <w:pPr>
                    <w:rPr>
                      <w:rFonts w:ascii="Arial Narrow" w:hAnsi="Arial Narrow"/>
                      <w:b/>
                      <w:sz w:val="20"/>
                      <w:szCs w:val="20"/>
                    </w:rPr>
                  </w:pPr>
                  <w:r w:rsidRPr="00FD3AF4">
                    <w:rPr>
                      <w:rFonts w:ascii="Arial Narrow" w:hAnsi="Arial Narrow"/>
                      <w:b/>
                      <w:sz w:val="20"/>
                      <w:szCs w:val="20"/>
                    </w:rPr>
                    <w:t>THR</w:t>
                  </w:r>
                </w:p>
                <w:p w:rsidR="00747837" w:rsidRDefault="00747837" w:rsidP="000F0E6B">
                  <w:pPr>
                    <w:rPr>
                      <w:rFonts w:ascii="Arial Narrow" w:hAnsi="Arial Narrow"/>
                      <w:sz w:val="20"/>
                      <w:szCs w:val="20"/>
                    </w:rPr>
                  </w:pPr>
                  <w:r>
                    <w:rPr>
                      <w:rFonts w:ascii="Arial Narrow" w:hAnsi="Arial Narrow"/>
                      <w:sz w:val="20"/>
                      <w:szCs w:val="20"/>
                    </w:rPr>
                    <w:t>Aug 16- 1 Superficial Infection</w:t>
                  </w:r>
                </w:p>
                <w:p w:rsidR="00747837" w:rsidRDefault="00747837" w:rsidP="000F0E6B">
                  <w:pPr>
                    <w:rPr>
                      <w:rFonts w:ascii="Arial Narrow" w:hAnsi="Arial Narrow"/>
                      <w:sz w:val="20"/>
                      <w:szCs w:val="20"/>
                    </w:rPr>
                  </w:pPr>
                  <w:r>
                    <w:rPr>
                      <w:rFonts w:ascii="Arial Narrow" w:hAnsi="Arial Narrow"/>
                      <w:sz w:val="20"/>
                      <w:szCs w:val="20"/>
                    </w:rPr>
                    <w:t>May 17 – 1 Deep Infection</w:t>
                  </w:r>
                </w:p>
                <w:p w:rsidR="00747837" w:rsidRDefault="00747837" w:rsidP="000F0E6B">
                  <w:pPr>
                    <w:rPr>
                      <w:rFonts w:ascii="Arial Narrow" w:hAnsi="Arial Narrow"/>
                      <w:sz w:val="20"/>
                      <w:szCs w:val="20"/>
                    </w:rPr>
                  </w:pPr>
                  <w:r>
                    <w:rPr>
                      <w:rFonts w:ascii="Arial Narrow" w:hAnsi="Arial Narrow"/>
                      <w:sz w:val="20"/>
                      <w:szCs w:val="20"/>
                    </w:rPr>
                    <w:t>July- 1 Deep Infection</w:t>
                  </w:r>
                </w:p>
                <w:p w:rsidR="00747837" w:rsidRPr="00030C37" w:rsidRDefault="00747837" w:rsidP="000F0E6B">
                  <w:pPr>
                    <w:rPr>
                      <w:rFonts w:ascii="Arial Narrow" w:hAnsi="Arial Narrow"/>
                      <w:sz w:val="20"/>
                      <w:szCs w:val="20"/>
                    </w:rPr>
                  </w:pPr>
                </w:p>
              </w:txbxContent>
            </v:textbox>
          </v:shape>
        </w:pict>
      </w:r>
      <w:r w:rsidR="00E747C2" w:rsidRPr="001204BB">
        <w:rPr>
          <w:rFonts w:ascii="Arial" w:hAnsi="Arial"/>
          <w:szCs w:val="20"/>
          <w:lang w:eastAsia="en-US"/>
        </w:rPr>
        <w:tab/>
      </w:r>
      <w:r w:rsidR="00E747C2" w:rsidRPr="001C5CD1">
        <w:rPr>
          <w:rFonts w:ascii="Arial" w:hAnsi="Arial"/>
          <w:szCs w:val="20"/>
          <w:lang w:eastAsia="en-US"/>
        </w:rPr>
        <w:t xml:space="preserve"> </w:t>
      </w:r>
      <w:r w:rsidR="004A52A0">
        <w:rPr>
          <w:noProof/>
          <w:szCs w:val="20"/>
        </w:rPr>
        <w:drawing>
          <wp:inline distT="0" distB="0" distL="0" distR="0">
            <wp:extent cx="9248775" cy="21240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srcRect/>
                    <a:stretch>
                      <a:fillRect/>
                    </a:stretch>
                  </pic:blipFill>
                  <pic:spPr bwMode="auto">
                    <a:xfrm>
                      <a:off x="0" y="0"/>
                      <a:ext cx="9248775" cy="2124075"/>
                    </a:xfrm>
                    <a:prstGeom prst="rect">
                      <a:avLst/>
                    </a:prstGeom>
                    <a:noFill/>
                    <a:ln w="9525">
                      <a:noFill/>
                      <a:miter lim="800000"/>
                      <a:headEnd/>
                      <a:tailEnd/>
                    </a:ln>
                  </pic:spPr>
                </pic:pic>
              </a:graphicData>
            </a:graphic>
          </wp:inline>
        </w:drawing>
      </w:r>
    </w:p>
    <w:p w:rsidR="00E747C2" w:rsidRDefault="004A52A0" w:rsidP="00D931CC">
      <w:pPr>
        <w:tabs>
          <w:tab w:val="left" w:pos="450"/>
          <w:tab w:val="left" w:pos="720"/>
          <w:tab w:val="left" w:pos="1440"/>
          <w:tab w:val="left" w:pos="2160"/>
          <w:tab w:val="left" w:pos="2880"/>
          <w:tab w:val="left" w:pos="4680"/>
          <w:tab w:val="left" w:pos="5400"/>
          <w:tab w:val="right" w:pos="9000"/>
        </w:tabs>
        <w:jc w:val="both"/>
        <w:rPr>
          <w:szCs w:val="20"/>
        </w:rPr>
      </w:pPr>
      <w:r>
        <w:rPr>
          <w:noProof/>
          <w:szCs w:val="20"/>
        </w:rPr>
        <w:drawing>
          <wp:inline distT="0" distB="0" distL="0" distR="0">
            <wp:extent cx="8667750" cy="26193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srcRect/>
                    <a:stretch>
                      <a:fillRect/>
                    </a:stretch>
                  </pic:blipFill>
                  <pic:spPr bwMode="auto">
                    <a:xfrm>
                      <a:off x="0" y="0"/>
                      <a:ext cx="8667750" cy="2619375"/>
                    </a:xfrm>
                    <a:prstGeom prst="rect">
                      <a:avLst/>
                    </a:prstGeom>
                    <a:noFill/>
                    <a:ln w="9525">
                      <a:noFill/>
                      <a:miter lim="800000"/>
                      <a:headEnd/>
                      <a:tailEnd/>
                    </a:ln>
                  </pic:spPr>
                </pic:pic>
              </a:graphicData>
            </a:graphic>
          </wp:inline>
        </w:drawing>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p w:rsidR="00896B78" w:rsidRDefault="00E747C2" w:rsidP="00E2019C">
      <w:pPr>
        <w:pStyle w:val="Default"/>
        <w:rPr>
          <w:szCs w:val="20"/>
        </w:rPr>
      </w:pPr>
      <w:r>
        <w:rPr>
          <w:szCs w:val="20"/>
        </w:rPr>
        <w:lastRenderedPageBreak/>
        <w:t>HAIRT Table of Abbreviations</w:t>
      </w:r>
    </w:p>
    <w:p w:rsidR="00896B78" w:rsidRDefault="00896B78" w:rsidP="00896B78">
      <w:pPr>
        <w:rPr>
          <w:lang w:val="en-US" w:eastAsia="en-US"/>
        </w:rPr>
      </w:pPr>
    </w:p>
    <w:tbl>
      <w:tblPr>
        <w:tblpPr w:leftFromText="180" w:rightFromText="180" w:vertAnchor="page" w:horzAnchor="margin" w:tblpY="1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AHP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Allied Healthcare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CABG</w:t>
            </w:r>
          </w:p>
        </w:tc>
        <w:tc>
          <w:tcPr>
            <w:tcW w:w="4994" w:type="dxa"/>
          </w:tcPr>
          <w:p w:rsidR="00EA5A72" w:rsidRDefault="00EA5A72" w:rsidP="00EA5A72">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CCU</w:t>
            </w:r>
          </w:p>
        </w:tc>
        <w:tc>
          <w:tcPr>
            <w:tcW w:w="4994" w:type="dxa"/>
          </w:tcPr>
          <w:p w:rsidR="00EA5A72" w:rsidRDefault="00EA5A72" w:rsidP="00EA5A72">
            <w:pPr>
              <w:rPr>
                <w:rFonts w:ascii="Arial" w:hAnsi="Arial" w:cs="Arial"/>
                <w:sz w:val="16"/>
                <w:szCs w:val="16"/>
              </w:rPr>
            </w:pPr>
            <w:r>
              <w:rPr>
                <w:rFonts w:ascii="Arial" w:hAnsi="Arial" w:cs="Arial"/>
                <w:sz w:val="16"/>
                <w:szCs w:val="16"/>
              </w:rPr>
              <w:t>Coronary Care Unit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Central Venous Catheter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DMT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Domestic Monitoring Tool</w:t>
            </w:r>
          </w:p>
        </w:tc>
      </w:tr>
      <w:tr w:rsidR="00EA5A72" w:rsidRPr="0093371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A5A72" w:rsidRPr="006F3D56" w:rsidRDefault="00EA5A72" w:rsidP="00EA5A72">
            <w:pPr>
              <w:rPr>
                <w:rFonts w:ascii="Arial" w:hAnsi="Arial" w:cs="Arial"/>
                <w:sz w:val="16"/>
                <w:szCs w:val="16"/>
              </w:rPr>
            </w:pPr>
            <w:r w:rsidRPr="006F3D56">
              <w:rPr>
                <w:rFonts w:ascii="Arial" w:hAnsi="Arial" w:cs="Arial"/>
                <w:iCs/>
                <w:sz w:val="16"/>
                <w:szCs w:val="16"/>
              </w:rPr>
              <w:t>Escherichia coli</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FMT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Facilities Monitoring Tool</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GJNH</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Golden Jubilee National Hospital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GP</w:t>
            </w:r>
          </w:p>
        </w:tc>
        <w:tc>
          <w:tcPr>
            <w:tcW w:w="4994" w:type="dxa"/>
          </w:tcPr>
          <w:p w:rsidR="00EA5A72" w:rsidRDefault="00EA5A72" w:rsidP="00EA5A72">
            <w:pPr>
              <w:rPr>
                <w:rFonts w:ascii="Arial" w:hAnsi="Arial" w:cs="Arial"/>
                <w:sz w:val="16"/>
                <w:szCs w:val="16"/>
              </w:rPr>
            </w:pPr>
            <w:r>
              <w:rPr>
                <w:rFonts w:ascii="Arial" w:hAnsi="Arial" w:cs="Arial"/>
                <w:sz w:val="16"/>
                <w:szCs w:val="16"/>
              </w:rPr>
              <w:t>General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HAIRT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 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HEI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Environment Inspection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HFS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Healthcare Facilities Scotland</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HH</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Hand Hygiene</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HIS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Improvement Scotland</w:t>
            </w:r>
          </w:p>
        </w:tc>
      </w:tr>
      <w:tr w:rsidR="00EA5A7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HPA</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 Protection Agency</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 Protection Scotland</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IABP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Intra aortic balloon pump</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ICAR</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 Audit Review</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LDP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Local Delivery Plan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Resistant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MSSA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Sensitive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NAT</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NCSS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 Cleaning Standard Specification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PAG</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Problem Assessment Group</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PCIC</w:t>
            </w:r>
          </w:p>
        </w:tc>
        <w:tc>
          <w:tcPr>
            <w:tcW w:w="4994" w:type="dxa"/>
          </w:tcPr>
          <w:p w:rsidR="00EA5A72" w:rsidRDefault="00EA5A72" w:rsidP="00EA5A72">
            <w:pPr>
              <w:rPr>
                <w:rFonts w:ascii="Arial" w:hAnsi="Arial" w:cs="Arial"/>
                <w:sz w:val="16"/>
                <w:szCs w:val="16"/>
              </w:rPr>
            </w:pPr>
            <w:r>
              <w:rPr>
                <w:rFonts w:ascii="Arial" w:hAnsi="Arial" w:cs="Arial"/>
                <w:sz w:val="16"/>
                <w:szCs w:val="16"/>
              </w:rPr>
              <w:t>Prevention &amp; Control of Infection Committee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PCINs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Nurses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Team</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PICC Line</w:t>
            </w:r>
          </w:p>
        </w:tc>
        <w:tc>
          <w:tcPr>
            <w:tcW w:w="4994" w:type="dxa"/>
          </w:tcPr>
          <w:p w:rsidR="00EA5A72" w:rsidRPr="006F3D56" w:rsidRDefault="00EA5A72" w:rsidP="00EA5A72">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Pr>
                <w:rFonts w:ascii="Arial" w:hAnsi="Arial" w:cs="Arial"/>
                <w:sz w:val="16"/>
                <w:szCs w:val="16"/>
              </w:rPr>
              <w:t>PNE</w:t>
            </w:r>
          </w:p>
        </w:tc>
        <w:tc>
          <w:tcPr>
            <w:tcW w:w="4994" w:type="dxa"/>
          </w:tcPr>
          <w:p w:rsidR="00EA5A72" w:rsidRPr="006F3D56" w:rsidRDefault="00EA5A72" w:rsidP="00EA5A72">
            <w:pPr>
              <w:pStyle w:val="Heading1"/>
              <w:rPr>
                <w:rFonts w:ascii="Arial" w:hAnsi="Arial" w:cs="Arial"/>
                <w:b w:val="0"/>
                <w:sz w:val="16"/>
                <w:szCs w:val="16"/>
              </w:rPr>
            </w:pPr>
            <w:r>
              <w:rPr>
                <w:rFonts w:ascii="Arial" w:hAnsi="Arial" w:cs="Arial"/>
                <w:b w:val="0"/>
                <w:sz w:val="16"/>
                <w:szCs w:val="16"/>
              </w:rPr>
              <w:t>Patient Notification Exercise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SAB</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SCN</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Senior Charge Nurse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SICP 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Standard Infection Control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SPSP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Scottish Patient Safety Programme </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SSI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Surgical Site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TBPs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Transmission Based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THR</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Total Hip Replacement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VAP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837" w:rsidRDefault="00747837">
      <w:r>
        <w:separator/>
      </w:r>
    </w:p>
  </w:endnote>
  <w:endnote w:type="continuationSeparator" w:id="0">
    <w:p w:rsidR="00747837" w:rsidRDefault="00747837">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7" w:rsidRDefault="00747837"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747837" w:rsidRPr="00952190" w:rsidRDefault="00747837"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747837" w:rsidRPr="00952190" w:rsidRDefault="00747837"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-19/09/17</w:t>
    </w:r>
  </w:p>
  <w:p w:rsidR="00747837" w:rsidRDefault="00747837" w:rsidP="00FB7EA9">
    <w:pPr>
      <w:pStyle w:val="Footer"/>
      <w:jc w:val="center"/>
    </w:pPr>
    <w:r>
      <w:t xml:space="preserve">Page </w:t>
    </w:r>
    <w:fldSimple w:instr=" PAGE ">
      <w:r w:rsidR="00467A8A">
        <w:rPr>
          <w:noProof/>
        </w:rPr>
        <w:t>1</w:t>
      </w:r>
    </w:fldSimple>
    <w:r>
      <w:t xml:space="preserve"> of </w:t>
    </w:r>
    <w:fldSimple w:instr=" NUMPAGES ">
      <w:r w:rsidR="00467A8A">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837" w:rsidRDefault="00747837">
      <w:r>
        <w:separator/>
      </w:r>
    </w:p>
  </w:footnote>
  <w:footnote w:type="continuationSeparator" w:id="0">
    <w:p w:rsidR="00747837" w:rsidRDefault="00747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7" w:rsidRDefault="007478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7" w:rsidRDefault="00747837"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7" w:rsidRDefault="007478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numPicBullet w:numPicBulletId="2">
    <w:pict>
      <v:shape id="_x0000_i1028" type="#_x0000_t75" style="width:11.25pt;height:9.75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9pt;height:9pt" o:bullet="t">
        <v:imagedata r:id="rId5" o:title=""/>
      </v:shape>
    </w:pict>
  </w:numPicBullet>
  <w:numPicBullet w:numPicBulletId="5">
    <w:pict>
      <v:shape id="_x0000_i1031" type="#_x0000_t75" style="width:11.25pt;height:11.25pt" o:bullet="t">
        <v:imagedata r:id="rId6" o:title=""/>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7">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1">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0">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5"/>
  </w:num>
  <w:num w:numId="2">
    <w:abstractNumId w:val="24"/>
  </w:num>
  <w:num w:numId="3">
    <w:abstractNumId w:val="4"/>
  </w:num>
  <w:num w:numId="4">
    <w:abstractNumId w:val="33"/>
  </w:num>
  <w:num w:numId="5">
    <w:abstractNumId w:val="23"/>
  </w:num>
  <w:num w:numId="6">
    <w:abstractNumId w:val="21"/>
  </w:num>
  <w:num w:numId="7">
    <w:abstractNumId w:val="22"/>
  </w:num>
  <w:num w:numId="8">
    <w:abstractNumId w:val="8"/>
  </w:num>
  <w:num w:numId="9">
    <w:abstractNumId w:val="11"/>
  </w:num>
  <w:num w:numId="10">
    <w:abstractNumId w:val="28"/>
  </w:num>
  <w:num w:numId="11">
    <w:abstractNumId w:val="38"/>
  </w:num>
  <w:num w:numId="12">
    <w:abstractNumId w:val="30"/>
  </w:num>
  <w:num w:numId="13">
    <w:abstractNumId w:val="32"/>
  </w:num>
  <w:num w:numId="14">
    <w:abstractNumId w:val="14"/>
  </w:num>
  <w:num w:numId="15">
    <w:abstractNumId w:val="2"/>
  </w:num>
  <w:num w:numId="16">
    <w:abstractNumId w:val="26"/>
  </w:num>
  <w:num w:numId="17">
    <w:abstractNumId w:val="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9"/>
  </w:num>
  <w:num w:numId="30">
    <w:abstractNumId w:val="16"/>
  </w:num>
  <w:num w:numId="31">
    <w:abstractNumId w:val="15"/>
  </w:num>
  <w:num w:numId="32">
    <w:abstractNumId w:val="37"/>
  </w:num>
  <w:num w:numId="33">
    <w:abstractNumId w:val="1"/>
  </w:num>
  <w:num w:numId="34">
    <w:abstractNumId w:val="9"/>
  </w:num>
  <w:num w:numId="35">
    <w:abstractNumId w:val="17"/>
  </w:num>
  <w:num w:numId="36">
    <w:abstractNumId w:val="13"/>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1"/>
  </w:num>
  <w:num w:numId="41">
    <w:abstractNumId w:val="12"/>
  </w:num>
  <w:num w:numId="42">
    <w:abstractNumId w:val="5"/>
  </w:num>
  <w:num w:numId="43">
    <w:abstractNumId w:val="10"/>
  </w:num>
  <w:num w:numId="44">
    <w:abstractNumId w:val="7"/>
  </w:num>
  <w:num w:numId="45">
    <w:abstractNumId w:val="3"/>
  </w:num>
  <w:num w:numId="46">
    <w:abstractNumId w:val="20"/>
  </w:num>
  <w:num w:numId="47">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244"/>
    <w:rsid w:val="00181848"/>
    <w:rsid w:val="00181CD8"/>
    <w:rsid w:val="001822DC"/>
    <w:rsid w:val="00182363"/>
    <w:rsid w:val="00182576"/>
    <w:rsid w:val="00182848"/>
    <w:rsid w:val="0018341A"/>
    <w:rsid w:val="00183E81"/>
    <w:rsid w:val="00184043"/>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DF9"/>
    <w:rsid w:val="001F1E8F"/>
    <w:rsid w:val="001F26FB"/>
    <w:rsid w:val="001F4790"/>
    <w:rsid w:val="001F4F59"/>
    <w:rsid w:val="001F4FEB"/>
    <w:rsid w:val="001F62B4"/>
    <w:rsid w:val="001F7266"/>
    <w:rsid w:val="001F7D0A"/>
    <w:rsid w:val="00200A57"/>
    <w:rsid w:val="00200CB9"/>
    <w:rsid w:val="00200DF1"/>
    <w:rsid w:val="00202A25"/>
    <w:rsid w:val="00202CC3"/>
    <w:rsid w:val="00202DB3"/>
    <w:rsid w:val="002046A3"/>
    <w:rsid w:val="0020476B"/>
    <w:rsid w:val="0020521A"/>
    <w:rsid w:val="00205812"/>
    <w:rsid w:val="00210253"/>
    <w:rsid w:val="00215CBD"/>
    <w:rsid w:val="00217730"/>
    <w:rsid w:val="00217989"/>
    <w:rsid w:val="0022010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AD2"/>
    <w:rsid w:val="00246D89"/>
    <w:rsid w:val="00247489"/>
    <w:rsid w:val="0024763B"/>
    <w:rsid w:val="00247B19"/>
    <w:rsid w:val="00247E7A"/>
    <w:rsid w:val="00251416"/>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75C2"/>
    <w:rsid w:val="00277DF4"/>
    <w:rsid w:val="00280ECF"/>
    <w:rsid w:val="0028231F"/>
    <w:rsid w:val="00282602"/>
    <w:rsid w:val="002830C5"/>
    <w:rsid w:val="00283595"/>
    <w:rsid w:val="0028369E"/>
    <w:rsid w:val="00283EB0"/>
    <w:rsid w:val="00284E04"/>
    <w:rsid w:val="00285231"/>
    <w:rsid w:val="00287B85"/>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3694"/>
    <w:rsid w:val="003739EF"/>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37B"/>
    <w:rsid w:val="00424632"/>
    <w:rsid w:val="004254CB"/>
    <w:rsid w:val="00425658"/>
    <w:rsid w:val="004258B6"/>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4A20"/>
    <w:rsid w:val="00466162"/>
    <w:rsid w:val="00466383"/>
    <w:rsid w:val="00466729"/>
    <w:rsid w:val="00467221"/>
    <w:rsid w:val="00467A8A"/>
    <w:rsid w:val="00467C3F"/>
    <w:rsid w:val="00470935"/>
    <w:rsid w:val="00473866"/>
    <w:rsid w:val="00473D02"/>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2A0"/>
    <w:rsid w:val="004A55DE"/>
    <w:rsid w:val="004A5BA1"/>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D23"/>
    <w:rsid w:val="004D7620"/>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58E5"/>
    <w:rsid w:val="005074C0"/>
    <w:rsid w:val="0050750C"/>
    <w:rsid w:val="00512E81"/>
    <w:rsid w:val="00514AB9"/>
    <w:rsid w:val="0051500E"/>
    <w:rsid w:val="00521340"/>
    <w:rsid w:val="00523062"/>
    <w:rsid w:val="00523996"/>
    <w:rsid w:val="00524245"/>
    <w:rsid w:val="005263F5"/>
    <w:rsid w:val="0053185B"/>
    <w:rsid w:val="0053232A"/>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5B75"/>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3ABF"/>
    <w:rsid w:val="0061492E"/>
    <w:rsid w:val="00616361"/>
    <w:rsid w:val="00616FB3"/>
    <w:rsid w:val="00616FE0"/>
    <w:rsid w:val="006209D4"/>
    <w:rsid w:val="0062167D"/>
    <w:rsid w:val="0062226F"/>
    <w:rsid w:val="006229CE"/>
    <w:rsid w:val="00622B62"/>
    <w:rsid w:val="00624526"/>
    <w:rsid w:val="00625D16"/>
    <w:rsid w:val="0063049B"/>
    <w:rsid w:val="00631944"/>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137"/>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B72E8"/>
    <w:rsid w:val="006C02DA"/>
    <w:rsid w:val="006C0C3F"/>
    <w:rsid w:val="006C1DEB"/>
    <w:rsid w:val="006C1E1B"/>
    <w:rsid w:val="006C2FBD"/>
    <w:rsid w:val="006C4352"/>
    <w:rsid w:val="006C4BB4"/>
    <w:rsid w:val="006C4CD6"/>
    <w:rsid w:val="006C5DDA"/>
    <w:rsid w:val="006C6383"/>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7837"/>
    <w:rsid w:val="00747947"/>
    <w:rsid w:val="007501F5"/>
    <w:rsid w:val="00750430"/>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3E88"/>
    <w:rsid w:val="00794193"/>
    <w:rsid w:val="00797B77"/>
    <w:rsid w:val="007A0F57"/>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2427"/>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C94"/>
    <w:rsid w:val="007F2FFF"/>
    <w:rsid w:val="007F4445"/>
    <w:rsid w:val="007F4AB9"/>
    <w:rsid w:val="007F5E26"/>
    <w:rsid w:val="007F73F8"/>
    <w:rsid w:val="008015F2"/>
    <w:rsid w:val="00802E6B"/>
    <w:rsid w:val="00805A7A"/>
    <w:rsid w:val="008069DF"/>
    <w:rsid w:val="008118D1"/>
    <w:rsid w:val="008124CA"/>
    <w:rsid w:val="00813328"/>
    <w:rsid w:val="00815776"/>
    <w:rsid w:val="00815CBB"/>
    <w:rsid w:val="00816868"/>
    <w:rsid w:val="00816C67"/>
    <w:rsid w:val="0081756B"/>
    <w:rsid w:val="00817D61"/>
    <w:rsid w:val="00820FDF"/>
    <w:rsid w:val="008217D5"/>
    <w:rsid w:val="00821C7A"/>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5C11"/>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077"/>
    <w:rsid w:val="008912D2"/>
    <w:rsid w:val="00891B73"/>
    <w:rsid w:val="00892539"/>
    <w:rsid w:val="008929D1"/>
    <w:rsid w:val="00893C1C"/>
    <w:rsid w:val="00893EAD"/>
    <w:rsid w:val="008946E5"/>
    <w:rsid w:val="00895207"/>
    <w:rsid w:val="00895EAA"/>
    <w:rsid w:val="00896B78"/>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409"/>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2665"/>
    <w:rsid w:val="009034A6"/>
    <w:rsid w:val="00904931"/>
    <w:rsid w:val="009107A6"/>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57EC"/>
    <w:rsid w:val="0095719B"/>
    <w:rsid w:val="00960713"/>
    <w:rsid w:val="00961ADB"/>
    <w:rsid w:val="00961EB9"/>
    <w:rsid w:val="0096205A"/>
    <w:rsid w:val="009624AD"/>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09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29F"/>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15A5D"/>
    <w:rsid w:val="00A200B4"/>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359E"/>
    <w:rsid w:val="00A74F5E"/>
    <w:rsid w:val="00A75139"/>
    <w:rsid w:val="00A75609"/>
    <w:rsid w:val="00A7629B"/>
    <w:rsid w:val="00A80113"/>
    <w:rsid w:val="00A814F9"/>
    <w:rsid w:val="00A820A1"/>
    <w:rsid w:val="00A820F6"/>
    <w:rsid w:val="00A829BA"/>
    <w:rsid w:val="00A83A67"/>
    <w:rsid w:val="00A847CD"/>
    <w:rsid w:val="00A866FB"/>
    <w:rsid w:val="00A8729F"/>
    <w:rsid w:val="00A900C5"/>
    <w:rsid w:val="00A90992"/>
    <w:rsid w:val="00A90D5C"/>
    <w:rsid w:val="00A941AE"/>
    <w:rsid w:val="00A951C7"/>
    <w:rsid w:val="00A96FEE"/>
    <w:rsid w:val="00A972DB"/>
    <w:rsid w:val="00AA0945"/>
    <w:rsid w:val="00AA2038"/>
    <w:rsid w:val="00AA30F4"/>
    <w:rsid w:val="00AA58CC"/>
    <w:rsid w:val="00AA646C"/>
    <w:rsid w:val="00AA66A1"/>
    <w:rsid w:val="00AB1360"/>
    <w:rsid w:val="00AB2BEA"/>
    <w:rsid w:val="00AB2E19"/>
    <w:rsid w:val="00AB33D9"/>
    <w:rsid w:val="00AB3F2E"/>
    <w:rsid w:val="00AB433E"/>
    <w:rsid w:val="00AC0DAA"/>
    <w:rsid w:val="00AC1F75"/>
    <w:rsid w:val="00AC30AD"/>
    <w:rsid w:val="00AC3416"/>
    <w:rsid w:val="00AC4BEE"/>
    <w:rsid w:val="00AC4D11"/>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C4E"/>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111"/>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4DCB"/>
    <w:rsid w:val="00C75EFC"/>
    <w:rsid w:val="00C82050"/>
    <w:rsid w:val="00C82398"/>
    <w:rsid w:val="00C852DD"/>
    <w:rsid w:val="00C85646"/>
    <w:rsid w:val="00C8590C"/>
    <w:rsid w:val="00C85A53"/>
    <w:rsid w:val="00C867F7"/>
    <w:rsid w:val="00C86885"/>
    <w:rsid w:val="00C868CC"/>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5FA8"/>
    <w:rsid w:val="00D570A7"/>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87993"/>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3EB8"/>
    <w:rsid w:val="00DB4844"/>
    <w:rsid w:val="00DB4CA4"/>
    <w:rsid w:val="00DB5C9A"/>
    <w:rsid w:val="00DB6276"/>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49A0"/>
    <w:rsid w:val="00DF6D6A"/>
    <w:rsid w:val="00DF7D61"/>
    <w:rsid w:val="00E0093E"/>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4913"/>
    <w:rsid w:val="00E249A7"/>
    <w:rsid w:val="00E25516"/>
    <w:rsid w:val="00E26291"/>
    <w:rsid w:val="00E275B2"/>
    <w:rsid w:val="00E302A8"/>
    <w:rsid w:val="00E30857"/>
    <w:rsid w:val="00E30B48"/>
    <w:rsid w:val="00E328D0"/>
    <w:rsid w:val="00E32C09"/>
    <w:rsid w:val="00E36C66"/>
    <w:rsid w:val="00E40F39"/>
    <w:rsid w:val="00E41FA4"/>
    <w:rsid w:val="00E42AED"/>
    <w:rsid w:val="00E43DD8"/>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7C9"/>
    <w:rsid w:val="00EA288E"/>
    <w:rsid w:val="00EA28EC"/>
    <w:rsid w:val="00EA308A"/>
    <w:rsid w:val="00EA3732"/>
    <w:rsid w:val="00EA5A72"/>
    <w:rsid w:val="00EA74D1"/>
    <w:rsid w:val="00EA7A93"/>
    <w:rsid w:val="00EB0A4A"/>
    <w:rsid w:val="00EB4E66"/>
    <w:rsid w:val="00EB6CC5"/>
    <w:rsid w:val="00EB73B3"/>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E6E55"/>
    <w:rsid w:val="00EF06C2"/>
    <w:rsid w:val="00EF1225"/>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714"/>
    <w:rsid w:val="00F50AAE"/>
    <w:rsid w:val="00F527A7"/>
    <w:rsid w:val="00F528AB"/>
    <w:rsid w:val="00F536C8"/>
    <w:rsid w:val="00F545D0"/>
    <w:rsid w:val="00F548B8"/>
    <w:rsid w:val="00F55564"/>
    <w:rsid w:val="00F560A8"/>
    <w:rsid w:val="00F5619B"/>
    <w:rsid w:val="00F5645F"/>
    <w:rsid w:val="00F56811"/>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9.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34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17.emf"/><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hyperlink" Target="http://www.washyourhandsofthem.com/" TargetMode="External"/><Relationship Id="rId25" Type="http://schemas.openxmlformats.org/officeDocument/2006/relationships/hyperlink" Target="http://www.nhs24.com/content/default.asp?page=s5_4&amp;articleID=2139&amp;sectionID=1"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2.emf"/><Relationship Id="rId29" Type="http://schemas.openxmlformats.org/officeDocument/2006/relationships/hyperlink" Target="http://www.hfs.scot.nhs.uk/online-services/publications/h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24" Type="http://schemas.openxmlformats.org/officeDocument/2006/relationships/image" Target="media/image16.emf"/><Relationship Id="rId32" Type="http://schemas.openxmlformats.org/officeDocument/2006/relationships/header" Target="header2.xml"/><Relationship Id="rId37"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5.emf"/><Relationship Id="rId28" Type="http://schemas.openxmlformats.org/officeDocument/2006/relationships/hyperlink" Target="http://www.scotland.gov.uk/About/Performance/scotPerforms/partnerstories/NHSScotlandperformance" TargetMode="External"/><Relationship Id="rId36" Type="http://schemas.openxmlformats.org/officeDocument/2006/relationships/image" Target="media/image19.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1.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4.emf"/><Relationship Id="rId27" Type="http://schemas.openxmlformats.org/officeDocument/2006/relationships/hyperlink" Target="http://www.nhs24.com/content/default.asp?page=s5_4&amp;articleID=252&amp;sectionID=1" TargetMode="External"/><Relationship Id="rId30" Type="http://schemas.openxmlformats.org/officeDocument/2006/relationships/footer" Target="footer1.xml"/><Relationship Id="rId35" Type="http://schemas.openxmlformats.org/officeDocument/2006/relationships/image" Target="media/image18.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0FAA8-6EA4-4978-8E18-7E2AF0202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1925</Words>
  <Characters>11145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McAuleyS</cp:lastModifiedBy>
  <cp:revision>3</cp:revision>
  <cp:lastPrinted>2017-09-20T11:17:00Z</cp:lastPrinted>
  <dcterms:created xsi:type="dcterms:W3CDTF">2017-10-13T14:48:00Z</dcterms:created>
  <dcterms:modified xsi:type="dcterms:W3CDTF">2017-10-13T14:49:00Z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