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70" w:rsidRPr="001175E5" w:rsidRDefault="00C10870" w:rsidP="000C18E0">
      <w:pPr>
        <w:pStyle w:val="Heading1"/>
        <w:rPr>
          <w:rFonts w:ascii="Arial" w:hAnsi="Arial" w:cs="Arial"/>
          <w:b w:val="0"/>
          <w:sz w:val="24"/>
          <w:szCs w:val="24"/>
        </w:rPr>
      </w:pPr>
      <w:r w:rsidRPr="001175E5">
        <w:rPr>
          <w:rFonts w:ascii="Arial" w:hAnsi="Arial" w:cs="Arial"/>
          <w:sz w:val="24"/>
          <w:szCs w:val="24"/>
        </w:rPr>
        <w:t>Board meeting</w:t>
      </w:r>
      <w:r w:rsidRPr="001175E5">
        <w:rPr>
          <w:rFonts w:ascii="Arial" w:hAnsi="Arial" w:cs="Arial"/>
          <w:b w:val="0"/>
          <w:sz w:val="24"/>
          <w:szCs w:val="24"/>
        </w:rPr>
        <w:t>:</w:t>
      </w:r>
      <w:r w:rsidRPr="001175E5">
        <w:rPr>
          <w:rFonts w:ascii="Arial" w:hAnsi="Arial" w:cs="Arial"/>
          <w:b w:val="0"/>
          <w:sz w:val="24"/>
          <w:szCs w:val="24"/>
        </w:rPr>
        <w:tab/>
      </w:r>
      <w:r w:rsidR="000C18E0">
        <w:rPr>
          <w:rFonts w:ascii="Arial" w:hAnsi="Arial" w:cs="Arial"/>
          <w:b w:val="0"/>
          <w:sz w:val="24"/>
          <w:szCs w:val="24"/>
        </w:rPr>
        <w:tab/>
      </w:r>
      <w:r>
        <w:rPr>
          <w:rFonts w:ascii="Arial" w:hAnsi="Arial" w:cs="Arial"/>
          <w:b w:val="0"/>
          <w:sz w:val="24"/>
          <w:szCs w:val="24"/>
        </w:rPr>
        <w:t xml:space="preserve"> </w:t>
      </w:r>
      <w:r w:rsidR="00414A13">
        <w:rPr>
          <w:rFonts w:ascii="Arial" w:hAnsi="Arial" w:cs="Arial"/>
          <w:b w:val="0"/>
          <w:sz w:val="24"/>
          <w:szCs w:val="24"/>
        </w:rPr>
        <w:t>9 May 2019</w:t>
      </w:r>
      <w:r w:rsidR="000C18E0">
        <w:rPr>
          <w:rFonts w:ascii="Arial" w:hAnsi="Arial" w:cs="Arial"/>
          <w:b w:val="0"/>
          <w:sz w:val="24"/>
          <w:szCs w:val="24"/>
        </w:rPr>
        <w:tab/>
      </w:r>
      <w:r w:rsidR="000C18E0">
        <w:rPr>
          <w:rFonts w:ascii="Arial" w:hAnsi="Arial" w:cs="Arial"/>
          <w:b w:val="0"/>
          <w:sz w:val="24"/>
          <w:szCs w:val="24"/>
        </w:rPr>
        <w:tab/>
      </w:r>
      <w:r w:rsidR="000C18E0">
        <w:rPr>
          <w:rFonts w:ascii="Arial" w:hAnsi="Arial" w:cs="Arial"/>
          <w:b w:val="0"/>
          <w:sz w:val="24"/>
          <w:szCs w:val="24"/>
        </w:rPr>
        <w:tab/>
      </w:r>
      <w:r w:rsidR="000C18E0">
        <w:rPr>
          <w:rFonts w:ascii="Arial" w:hAnsi="Arial" w:cs="Arial"/>
          <w:b w:val="0"/>
          <w:sz w:val="24"/>
          <w:szCs w:val="24"/>
        </w:rPr>
        <w:tab/>
      </w:r>
      <w:r w:rsidR="000C18E0">
        <w:rPr>
          <w:rFonts w:ascii="Arial" w:hAnsi="Arial" w:cs="Arial"/>
          <w:b w:val="0"/>
          <w:noProof/>
          <w:sz w:val="24"/>
          <w:szCs w:val="24"/>
          <w:lang w:eastAsia="en-GB"/>
        </w:rPr>
        <w:drawing>
          <wp:inline distT="0" distB="0" distL="0" distR="0">
            <wp:extent cx="733425" cy="628650"/>
            <wp:effectExtent l="19050" t="0" r="9525" b="0"/>
            <wp:docPr id="15"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7" cstate="print"/>
                    <a:srcRect/>
                    <a:stretch>
                      <a:fillRect/>
                    </a:stretch>
                  </pic:blipFill>
                  <pic:spPr bwMode="auto">
                    <a:xfrm>
                      <a:off x="0" y="0"/>
                      <a:ext cx="733425" cy="628650"/>
                    </a:xfrm>
                    <a:prstGeom prst="rect">
                      <a:avLst/>
                    </a:prstGeom>
                    <a:noFill/>
                    <a:ln w="9525">
                      <a:noFill/>
                      <a:miter lim="800000"/>
                      <a:headEnd/>
                      <a:tailEnd/>
                    </a:ln>
                  </pic:spPr>
                </pic:pic>
              </a:graphicData>
            </a:graphic>
          </wp:inline>
        </w:drawing>
      </w:r>
    </w:p>
    <w:p w:rsidR="00C10870" w:rsidRPr="00682309" w:rsidRDefault="00C10870" w:rsidP="00C10870"/>
    <w:p w:rsidR="00C10870" w:rsidRPr="00682309" w:rsidRDefault="00C10870" w:rsidP="00C10870">
      <w:pPr>
        <w:ind w:left="2160" w:hanging="2160"/>
      </w:pPr>
      <w:r w:rsidRPr="00682309">
        <w:rPr>
          <w:b/>
          <w:bCs/>
        </w:rPr>
        <w:t xml:space="preserve">Subject: </w:t>
      </w:r>
      <w:r w:rsidRPr="00682309">
        <w:rPr>
          <w:b/>
          <w:bCs/>
        </w:rPr>
        <w:tab/>
      </w:r>
      <w:r w:rsidRPr="00682309">
        <w:rPr>
          <w:b/>
          <w:bCs/>
        </w:rPr>
        <w:tab/>
      </w:r>
      <w:r w:rsidR="00522F0C">
        <w:rPr>
          <w:bCs/>
        </w:rPr>
        <w:t xml:space="preserve"> </w:t>
      </w:r>
      <w:r w:rsidR="005E78E8">
        <w:rPr>
          <w:bCs/>
        </w:rPr>
        <w:t xml:space="preserve">Person Centred </w:t>
      </w:r>
      <w:r w:rsidRPr="00C10870">
        <w:rPr>
          <w:bCs/>
        </w:rPr>
        <w:t>C</w:t>
      </w:r>
      <w:r w:rsidRPr="006F07FE">
        <w:rPr>
          <w:bCs/>
        </w:rPr>
        <w:t>ommittee update</w:t>
      </w:r>
    </w:p>
    <w:p w:rsidR="00C10870" w:rsidRPr="00682309" w:rsidRDefault="00C10870" w:rsidP="00C10870">
      <w:pPr>
        <w:rPr>
          <w:b/>
          <w:bCs/>
        </w:rPr>
      </w:pPr>
      <w:r w:rsidRPr="00682309">
        <w:rPr>
          <w:b/>
          <w:bCs/>
        </w:rPr>
        <w:tab/>
      </w:r>
    </w:p>
    <w:p w:rsidR="00C10870" w:rsidRDefault="00C10870" w:rsidP="00C10870">
      <w:pPr>
        <w:ind w:left="2880" w:right="-514" w:hanging="2880"/>
      </w:pPr>
      <w:r w:rsidRPr="00682309">
        <w:rPr>
          <w:b/>
          <w:bCs/>
        </w:rPr>
        <w:t>Recommendation:</w:t>
      </w:r>
      <w:r w:rsidRPr="00682309">
        <w:rPr>
          <w:b/>
          <w:bCs/>
        </w:rPr>
        <w:tab/>
      </w:r>
      <w:r w:rsidRPr="00C92710">
        <w:t>Board members are asked to note</w:t>
      </w:r>
      <w:r>
        <w:t xml:space="preserve"> the discussions a</w:t>
      </w:r>
      <w:r w:rsidR="00522F0C">
        <w:t xml:space="preserve">t </w:t>
      </w:r>
      <w:r w:rsidR="00244ECB">
        <w:t xml:space="preserve">  </w:t>
      </w:r>
      <w:r w:rsidR="005E78E8">
        <w:t>the Person Centred Committee (</w:t>
      </w:r>
      <w:r w:rsidR="00514C37">
        <w:t xml:space="preserve">PCC) held on </w:t>
      </w:r>
      <w:r w:rsidR="00414A13">
        <w:t>17</w:t>
      </w:r>
      <w:r w:rsidR="00414A13" w:rsidRPr="00414A13">
        <w:rPr>
          <w:vertAlign w:val="superscript"/>
        </w:rPr>
        <w:t>th</w:t>
      </w:r>
      <w:r w:rsidR="00414A13">
        <w:t xml:space="preserve"> April 2</w:t>
      </w:r>
      <w:r w:rsidR="00D3471A">
        <w:t>019</w:t>
      </w:r>
    </w:p>
    <w:p w:rsidR="00E31342" w:rsidRDefault="00E31342" w:rsidP="00C10870">
      <w:pPr>
        <w:ind w:left="2880" w:right="-514" w:hanging="2880"/>
      </w:pPr>
    </w:p>
    <w:p w:rsidR="00C10870" w:rsidRPr="00D8698E" w:rsidRDefault="00C10870" w:rsidP="00C10870">
      <w:pPr>
        <w:rPr>
          <w:b/>
          <w:bCs/>
        </w:rPr>
      </w:pPr>
      <w:r w:rsidRPr="00682309">
        <w:rPr>
          <w:noProof/>
          <w:lang w:val="en-US"/>
        </w:rPr>
        <w:pict>
          <v:line id="_x0000_s1028" style="position:absolute;z-index:251658752" from="0,8.1pt" to="414pt,8.1pt" strokeweight="1.5pt"/>
        </w:pict>
      </w:r>
    </w:p>
    <w:p w:rsidR="00C10870" w:rsidRPr="00F856B1" w:rsidRDefault="00C10870" w:rsidP="00C10870">
      <w:pPr>
        <w:tabs>
          <w:tab w:val="left" w:pos="7938"/>
        </w:tabs>
        <w:rPr>
          <w:b/>
          <w:bCs/>
          <w:lang w:val="en-US"/>
        </w:rPr>
      </w:pPr>
      <w:r w:rsidRPr="00F856B1">
        <w:rPr>
          <w:b/>
          <w:bCs/>
          <w:lang w:val="en-US"/>
        </w:rPr>
        <w:tab/>
      </w:r>
    </w:p>
    <w:p w:rsidR="00C10870" w:rsidRDefault="00C10870" w:rsidP="00C10870">
      <w:r w:rsidRPr="00D8698E">
        <w:t xml:space="preserve">The following key points were </w:t>
      </w:r>
      <w:r w:rsidR="00514C37">
        <w:t xml:space="preserve">discussed </w:t>
      </w:r>
      <w:r w:rsidRPr="00D8698E">
        <w:t xml:space="preserve">at the meeting and have been split into the three high level quality ambitions of </w:t>
      </w:r>
      <w:r>
        <w:t xml:space="preserve">person centred, </w:t>
      </w:r>
      <w:r w:rsidRPr="00D8698E">
        <w:t>saf</w:t>
      </w:r>
      <w:r>
        <w:t>e, and effective.</w:t>
      </w:r>
    </w:p>
    <w:p w:rsidR="00C10870" w:rsidRPr="00D8698E" w:rsidRDefault="00C10870" w:rsidP="00C10870"/>
    <w:tbl>
      <w:tblPr>
        <w:tblW w:w="8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7"/>
        <w:gridCol w:w="6883"/>
      </w:tblGrid>
      <w:tr w:rsidR="00C10870" w:rsidRPr="00F06CCF" w:rsidTr="00D1343D">
        <w:trPr>
          <w:trHeight w:val="884"/>
        </w:trPr>
        <w:tc>
          <w:tcPr>
            <w:tcW w:w="1217" w:type="dxa"/>
            <w:shd w:val="clear" w:color="auto" w:fill="0000FF"/>
          </w:tcPr>
          <w:p w:rsidR="00C10870" w:rsidRPr="00F06CCF" w:rsidRDefault="00C10870" w:rsidP="00824E9B">
            <w:pPr>
              <w:rPr>
                <w:b/>
                <w:bCs/>
                <w:color w:val="FFFFFF"/>
                <w:lang w:val="en-US"/>
              </w:rPr>
            </w:pPr>
          </w:p>
          <w:p w:rsidR="00C10870" w:rsidRPr="00F06CCF" w:rsidRDefault="00C10870" w:rsidP="00824E9B">
            <w:pPr>
              <w:rPr>
                <w:b/>
                <w:bCs/>
                <w:color w:val="FFFFFF"/>
                <w:lang w:val="en-US"/>
              </w:rPr>
            </w:pPr>
            <w:r w:rsidRPr="00F06CCF">
              <w:rPr>
                <w:b/>
                <w:bCs/>
                <w:color w:val="FFFFFF"/>
                <w:lang w:val="en-US"/>
              </w:rPr>
              <w:t>Item</w:t>
            </w:r>
          </w:p>
        </w:tc>
        <w:tc>
          <w:tcPr>
            <w:tcW w:w="6883" w:type="dxa"/>
            <w:shd w:val="clear" w:color="auto" w:fill="0000FF"/>
          </w:tcPr>
          <w:p w:rsidR="00C10870" w:rsidRPr="00F06CCF" w:rsidRDefault="00C10870" w:rsidP="00824E9B">
            <w:pPr>
              <w:rPr>
                <w:b/>
                <w:bCs/>
                <w:color w:val="FFFFFF"/>
                <w:lang w:val="en-US"/>
              </w:rPr>
            </w:pPr>
          </w:p>
          <w:p w:rsidR="00C10870" w:rsidRPr="00F06CCF" w:rsidRDefault="00C10870" w:rsidP="00824E9B">
            <w:pPr>
              <w:rPr>
                <w:b/>
                <w:bCs/>
                <w:color w:val="FFFFFF"/>
                <w:lang w:val="en-US"/>
              </w:rPr>
            </w:pPr>
            <w:r w:rsidRPr="00F06CCF">
              <w:rPr>
                <w:b/>
                <w:bCs/>
                <w:color w:val="FFFFFF"/>
                <w:lang w:val="en-US"/>
              </w:rPr>
              <w:t>Details</w:t>
            </w:r>
          </w:p>
        </w:tc>
      </w:tr>
      <w:tr w:rsidR="00C10870" w:rsidRPr="00F06CCF" w:rsidTr="00D1343D">
        <w:tc>
          <w:tcPr>
            <w:tcW w:w="1217" w:type="dxa"/>
          </w:tcPr>
          <w:p w:rsidR="00C10870" w:rsidRPr="00F06CCF" w:rsidRDefault="00C10870" w:rsidP="00824E9B">
            <w:pPr>
              <w:rPr>
                <w:b/>
                <w:bCs/>
                <w:lang w:val="en-US"/>
              </w:rPr>
            </w:pPr>
            <w:r w:rsidRPr="00F06CCF">
              <w:rPr>
                <w:b/>
                <w:bCs/>
                <w:lang w:val="en-US"/>
              </w:rPr>
              <w:t>Person Centred</w:t>
            </w:r>
          </w:p>
          <w:p w:rsidR="00C10870" w:rsidRPr="00F06CCF" w:rsidRDefault="00C10870" w:rsidP="00824E9B">
            <w:pPr>
              <w:rPr>
                <w:bCs/>
                <w:lang w:val="en-US"/>
              </w:rPr>
            </w:pPr>
          </w:p>
          <w:p w:rsidR="00C10870" w:rsidRPr="00F06CCF" w:rsidRDefault="00C10870" w:rsidP="00824E9B">
            <w:pPr>
              <w:rPr>
                <w:bCs/>
                <w:lang w:val="en-US"/>
              </w:rPr>
            </w:pPr>
          </w:p>
          <w:p w:rsidR="00C10870" w:rsidRPr="00F06CCF" w:rsidRDefault="00C10870" w:rsidP="00824E9B">
            <w:pPr>
              <w:rPr>
                <w:bCs/>
                <w:lang w:val="en-US"/>
              </w:rPr>
            </w:pPr>
          </w:p>
        </w:tc>
        <w:tc>
          <w:tcPr>
            <w:tcW w:w="6883" w:type="dxa"/>
          </w:tcPr>
          <w:p w:rsidR="00C10870" w:rsidRPr="00F06CCF" w:rsidRDefault="00C10870" w:rsidP="00824E9B">
            <w:pPr>
              <w:rPr>
                <w:b/>
                <w:color w:val="000000"/>
              </w:rPr>
            </w:pPr>
            <w:r w:rsidRPr="00F06CCF">
              <w:rPr>
                <w:b/>
                <w:color w:val="000000"/>
              </w:rPr>
              <w:t>Mutually beneficial partnerships between patients, their families and those delivering healthcare services which respect individual needs and values and which demonstrate compassion, continuity, clear communication and shared decision-making.</w:t>
            </w:r>
          </w:p>
          <w:p w:rsidR="005E78E8" w:rsidRPr="00F06CCF" w:rsidRDefault="005E78E8" w:rsidP="00824E9B">
            <w:pPr>
              <w:rPr>
                <w:b/>
                <w:color w:val="000000"/>
              </w:rPr>
            </w:pPr>
          </w:p>
          <w:p w:rsidR="00E31342" w:rsidRDefault="0027663F" w:rsidP="00BB5205">
            <w:r w:rsidRPr="0027663F">
              <w:rPr>
                <w:b/>
              </w:rPr>
              <w:t>Person Centred Committee Annual Report for 2018/19</w:t>
            </w:r>
            <w:r>
              <w:t xml:space="preserve"> </w:t>
            </w:r>
            <w:r w:rsidR="00D1343D">
              <w:t xml:space="preserve">was </w:t>
            </w:r>
            <w:r>
              <w:t>presented and approved by the committee.</w:t>
            </w:r>
          </w:p>
          <w:p w:rsidR="0027663F" w:rsidRDefault="0027663F" w:rsidP="00BB5205"/>
          <w:p w:rsidR="0027663F" w:rsidRPr="00D1343D" w:rsidRDefault="0027663F" w:rsidP="00BB5205">
            <w:r>
              <w:rPr>
                <w:b/>
              </w:rPr>
              <w:t xml:space="preserve">PCC Terms of Reference &amp; Annual Work plan for 2019/20 </w:t>
            </w:r>
            <w:r>
              <w:t>was presented and approved by the committee.</w:t>
            </w:r>
            <w:r w:rsidR="00D1343D">
              <w:t xml:space="preserve"> </w:t>
            </w:r>
            <w:r>
              <w:t xml:space="preserve">Gareth </w:t>
            </w:r>
            <w:r w:rsidR="00B068A3">
              <w:t xml:space="preserve">Adkins </w:t>
            </w:r>
            <w:r>
              <w:t xml:space="preserve">explained the changes to the planned meeting structure which will mean PCC will meet 6 times per year and presented the proposed changes to the work plan which will flow into the Board meeting schedule.  It was noted we need to give consideration to how the remuneration committee </w:t>
            </w:r>
            <w:r w:rsidR="00D3471A">
              <w:t xml:space="preserve">will </w:t>
            </w:r>
            <w:r>
              <w:t>f</w:t>
            </w:r>
            <w:r w:rsidR="00D3471A">
              <w:t>e</w:t>
            </w:r>
            <w:r>
              <w:t>ed into PCC.</w:t>
            </w:r>
          </w:p>
          <w:p w:rsidR="00FF6E2B" w:rsidRDefault="00FF6E2B" w:rsidP="00FF6E2B"/>
          <w:p w:rsidR="0027663F" w:rsidRPr="0027663F" w:rsidRDefault="0027663F" w:rsidP="00FF6E2B">
            <w:pPr>
              <w:rPr>
                <w:b/>
              </w:rPr>
            </w:pPr>
            <w:r w:rsidRPr="0027663F">
              <w:rPr>
                <w:b/>
              </w:rPr>
              <w:t>Spiritual Care Update</w:t>
            </w:r>
          </w:p>
          <w:p w:rsidR="0027663F" w:rsidRDefault="0027663F" w:rsidP="0027663F">
            <w:r>
              <w:t xml:space="preserve">Andy </w:t>
            </w:r>
            <w:r w:rsidR="00B068A3">
              <w:t xml:space="preserve">Gillies </w:t>
            </w:r>
            <w:r>
              <w:t>joined the meeting and gave a summary of the staff composition of spiritual care and their work which we noted was comprehensive and we passed our thanks to Andy and his team.</w:t>
            </w:r>
          </w:p>
          <w:p w:rsidR="008A5A4B" w:rsidRDefault="008A5A4B" w:rsidP="0027663F"/>
          <w:p w:rsidR="008A5A4B" w:rsidRDefault="008A5A4B" w:rsidP="0027663F">
            <w:r>
              <w:rPr>
                <w:b/>
              </w:rPr>
              <w:t>Equality Mainstreaming Report</w:t>
            </w:r>
          </w:p>
          <w:p w:rsidR="008A5A4B" w:rsidRDefault="008A5A4B" w:rsidP="008A5A4B">
            <w:r>
              <w:t xml:space="preserve">Gareth </w:t>
            </w:r>
            <w:r w:rsidR="00B068A3">
              <w:t xml:space="preserve">Adkins </w:t>
            </w:r>
            <w:r>
              <w:t xml:space="preserve">explained that the report is published bi-annually and we are required to report on how we have met the Scottish Public Sector Equality Duty.  The report was still in draft format and the committee members gave feedback.   In particular we liked the case studies written in the style of the </w:t>
            </w:r>
            <w:r>
              <w:lastRenderedPageBreak/>
              <w:t>individuals which gives the report a more diverse and accessible feel However, we felt it was too wordy and required further consideration to the presentation and format, the communications</w:t>
            </w:r>
            <w:r w:rsidR="00D3471A">
              <w:t xml:space="preserve"> team</w:t>
            </w:r>
            <w:r>
              <w:t xml:space="preserve"> will work with </w:t>
            </w:r>
            <w:r w:rsidR="00D3471A">
              <w:t>Andy</w:t>
            </w:r>
            <w:r>
              <w:t xml:space="preserve"> and Gareth and circulate a final version virtually for PCC members to approve before the deadline </w:t>
            </w:r>
            <w:r w:rsidR="00D3471A">
              <w:t>to publish.</w:t>
            </w:r>
          </w:p>
          <w:p w:rsidR="008A5A4B" w:rsidRDefault="008A5A4B" w:rsidP="00D3471A">
            <w:pPr>
              <w:rPr>
                <w:b/>
              </w:rPr>
            </w:pPr>
          </w:p>
          <w:p w:rsidR="008A5A4B" w:rsidRPr="00D3471A" w:rsidRDefault="008A5A4B" w:rsidP="008A5A4B">
            <w:pPr>
              <w:rPr>
                <w:b/>
              </w:rPr>
            </w:pPr>
            <w:r w:rsidRPr="008A5A4B">
              <w:rPr>
                <w:b/>
              </w:rPr>
              <w:t>Quarterly Job Planning Update</w:t>
            </w:r>
          </w:p>
          <w:p w:rsidR="008A5A4B" w:rsidRDefault="008A5A4B" w:rsidP="008A5A4B">
            <w:r>
              <w:t>Laura L</w:t>
            </w:r>
            <w:r w:rsidR="00B068A3">
              <w:t>iddle</w:t>
            </w:r>
            <w:r>
              <w:t xml:space="preserve"> gave an update on the job planning process for 2018/19</w:t>
            </w:r>
            <w:r w:rsidR="00273AF4">
              <w:t xml:space="preserve">.  </w:t>
            </w:r>
            <w:r>
              <w:t>Overall within the Board 64% of Consultant e-job plans were signed o</w:t>
            </w:r>
            <w:r w:rsidR="00D3471A">
              <w:t>f</w:t>
            </w:r>
            <w:r>
              <w:t>f by 31</w:t>
            </w:r>
            <w:r>
              <w:rPr>
                <w:vertAlign w:val="superscript"/>
              </w:rPr>
              <w:t>st</w:t>
            </w:r>
            <w:r>
              <w:t xml:space="preserve"> March 2019 and 55% of Speciality Doctor/Associate Specialist job plans were signed off on the system.  Laura gave a breakdown of the figures and the monitoring and reminder process followed. A steering group meets throughout the year where medical managers discuss any issues and agree actions.</w:t>
            </w:r>
            <w:r w:rsidR="00B068A3">
              <w:t xml:space="preserve"> There will be further work in 2019/2020 to improve the monitoring and compliance process to achieve the target of 100% job plans for 2020/2021 signed off by March 31</w:t>
            </w:r>
            <w:r w:rsidR="00B068A3" w:rsidRPr="00B068A3">
              <w:rPr>
                <w:vertAlign w:val="superscript"/>
              </w:rPr>
              <w:t>st</w:t>
            </w:r>
            <w:r w:rsidR="00B068A3">
              <w:t xml:space="preserve"> 2020</w:t>
            </w:r>
          </w:p>
          <w:p w:rsidR="00C14EC4" w:rsidRPr="00F06CCF" w:rsidRDefault="00C14EC4" w:rsidP="00BB5205">
            <w:pPr>
              <w:rPr>
                <w:bCs/>
                <w:lang w:val="en-US"/>
              </w:rPr>
            </w:pPr>
            <w:r w:rsidRPr="00F06CCF">
              <w:rPr>
                <w:bCs/>
                <w:lang w:val="en-US"/>
              </w:rPr>
              <w:t xml:space="preserve"> </w:t>
            </w:r>
          </w:p>
          <w:p w:rsidR="00C10870" w:rsidRPr="00F06CCF" w:rsidRDefault="00C10870" w:rsidP="00F06CCF">
            <w:pPr>
              <w:ind w:left="295"/>
              <w:rPr>
                <w:bCs/>
                <w:lang w:val="en-US"/>
              </w:rPr>
            </w:pPr>
          </w:p>
        </w:tc>
      </w:tr>
      <w:tr w:rsidR="00FF6E2B" w:rsidRPr="00F06CCF" w:rsidTr="00D1343D">
        <w:tc>
          <w:tcPr>
            <w:tcW w:w="1217" w:type="dxa"/>
          </w:tcPr>
          <w:p w:rsidR="00FF6E2B" w:rsidRPr="00F06CCF" w:rsidRDefault="00FF6E2B" w:rsidP="00FF6E2B">
            <w:pPr>
              <w:rPr>
                <w:b/>
                <w:bCs/>
                <w:lang w:val="en-US"/>
              </w:rPr>
            </w:pPr>
          </w:p>
          <w:p w:rsidR="00FF6E2B" w:rsidRPr="00F06CCF" w:rsidRDefault="00FF6E2B" w:rsidP="00FF6E2B">
            <w:pPr>
              <w:rPr>
                <w:b/>
                <w:bCs/>
                <w:lang w:val="en-US"/>
              </w:rPr>
            </w:pPr>
            <w:r w:rsidRPr="00F06CCF">
              <w:rPr>
                <w:b/>
                <w:bCs/>
                <w:lang w:val="en-US"/>
              </w:rPr>
              <w:t>Safe</w:t>
            </w:r>
          </w:p>
          <w:p w:rsidR="00FF6E2B" w:rsidRDefault="00FF6E2B" w:rsidP="00FF6E2B"/>
          <w:p w:rsidR="00FF6E2B" w:rsidRDefault="00FF6E2B" w:rsidP="00FF6E2B"/>
          <w:p w:rsidR="00FF6E2B" w:rsidRDefault="00FF6E2B" w:rsidP="00FF6E2B"/>
          <w:p w:rsidR="00FF6E2B" w:rsidRDefault="00FF6E2B" w:rsidP="00FF6E2B"/>
          <w:p w:rsidR="00FF6E2B" w:rsidRDefault="00FF6E2B" w:rsidP="00FF6E2B"/>
          <w:p w:rsidR="00FF6E2B" w:rsidRDefault="00FF6E2B" w:rsidP="00FF6E2B"/>
          <w:p w:rsidR="00FF6E2B" w:rsidRPr="008A1D76" w:rsidRDefault="00FF6E2B" w:rsidP="00FF6E2B"/>
        </w:tc>
        <w:tc>
          <w:tcPr>
            <w:tcW w:w="6883" w:type="dxa"/>
          </w:tcPr>
          <w:p w:rsidR="00FF6E2B" w:rsidRPr="00F06CCF" w:rsidRDefault="00FF6E2B" w:rsidP="00FF6E2B">
            <w:pPr>
              <w:rPr>
                <w:b/>
                <w:color w:val="000000"/>
              </w:rPr>
            </w:pPr>
            <w:r w:rsidRPr="00F06CCF">
              <w:rPr>
                <w:b/>
                <w:color w:val="000000"/>
              </w:rPr>
              <w:t>Mutually beneficial partnerships between patients, their families and those delivering healthcare services which respect individual needs and values and which demonstrate compassion, continuity, clear communication and shared decision-making.</w:t>
            </w:r>
          </w:p>
          <w:p w:rsidR="00FF6E2B" w:rsidRDefault="00FF6E2B" w:rsidP="00FF6E2B">
            <w:pPr>
              <w:rPr>
                <w:b/>
                <w:color w:val="000000"/>
              </w:rPr>
            </w:pPr>
          </w:p>
          <w:p w:rsidR="00FF6E2B" w:rsidRDefault="00FF6E2B" w:rsidP="00FF6E2B">
            <w:r w:rsidRPr="00FF6E2B">
              <w:rPr>
                <w:b/>
              </w:rPr>
              <w:t xml:space="preserve">The feedback report for quarter 3 </w:t>
            </w:r>
            <w:r w:rsidRPr="00D1343D">
              <w:t>was presented and discussed. At the January meeting</w:t>
            </w:r>
            <w:r>
              <w:t xml:space="preserve"> the committee had agreed to look at the complaints received by interventional cardiology. </w:t>
            </w:r>
          </w:p>
          <w:p w:rsidR="00FF6E2B" w:rsidRDefault="00FF6E2B" w:rsidP="00FF6E2B"/>
          <w:p w:rsidR="00FF6E2B" w:rsidRDefault="00FF6E2B" w:rsidP="00FF6E2B">
            <w:r>
              <w:t xml:space="preserve">We received a presentation on the interventional cardiology complaints which shows a small increase year on year.  Laura </w:t>
            </w:r>
            <w:r w:rsidR="00B068A3">
              <w:t xml:space="preserve">Langan Riach </w:t>
            </w:r>
            <w:r>
              <w:t>explained the process of a complaint and an overview of response times which averaged 22.6 days with a target of 20 days.  Themes identified were an increase in waiting times and outlined what causes delay in responses.  No complaints have been received regarding waiting times since January and it is thought this may be related to the new cath lab.  We were assured that although focus is put on achieving the target of 20 days the primary focus is put on the quality of the process.</w:t>
            </w:r>
          </w:p>
          <w:p w:rsidR="00D1343D" w:rsidRDefault="00D1343D" w:rsidP="00FF6E2B"/>
          <w:p w:rsidR="00FF6E2B" w:rsidRPr="00F06CCF" w:rsidRDefault="00FF6E2B" w:rsidP="00FF6E2B">
            <w:pPr>
              <w:rPr>
                <w:bCs/>
                <w:lang w:val="en-US"/>
              </w:rPr>
            </w:pPr>
          </w:p>
          <w:p w:rsidR="00FF6E2B" w:rsidRPr="00F06CCF" w:rsidRDefault="00FF6E2B" w:rsidP="00FF6E2B">
            <w:pPr>
              <w:rPr>
                <w:bCs/>
                <w:lang w:val="en-US"/>
              </w:rPr>
            </w:pPr>
            <w:r>
              <w:rPr>
                <w:bCs/>
                <w:lang w:val="en-US"/>
              </w:rPr>
              <w:t>We all agreed that we will look at another service at our next meeting and would ask members of that service to join the presentation.</w:t>
            </w:r>
          </w:p>
          <w:p w:rsidR="00FF6E2B" w:rsidRDefault="00FF6E2B" w:rsidP="00FF6E2B">
            <w:pPr>
              <w:rPr>
                <w:bCs/>
                <w:lang w:val="en-US"/>
              </w:rPr>
            </w:pPr>
          </w:p>
          <w:p w:rsidR="00FF6E2B" w:rsidRPr="00FF6E2B" w:rsidRDefault="00FF6E2B" w:rsidP="00FF6E2B">
            <w:pPr>
              <w:rPr>
                <w:b/>
                <w:bCs/>
                <w:lang w:val="en-US"/>
              </w:rPr>
            </w:pPr>
          </w:p>
          <w:p w:rsidR="00FF6E2B" w:rsidRDefault="00FF6E2B" w:rsidP="00FF6E2B">
            <w:r w:rsidRPr="00FF6E2B">
              <w:rPr>
                <w:b/>
                <w:bCs/>
                <w:lang w:val="en-US"/>
              </w:rPr>
              <w:lastRenderedPageBreak/>
              <w:t xml:space="preserve">Staff Governance End of Year </w:t>
            </w:r>
            <w:r w:rsidRPr="0027663F">
              <w:rPr>
                <w:b/>
                <w:bCs/>
                <w:lang w:val="en-US"/>
              </w:rPr>
              <w:t xml:space="preserve">Report </w:t>
            </w:r>
            <w:r w:rsidR="0027663F" w:rsidRPr="0027663F">
              <w:rPr>
                <w:b/>
                <w:bCs/>
                <w:lang w:val="en-US"/>
              </w:rPr>
              <w:t>2018/19</w:t>
            </w:r>
            <w:r w:rsidR="0027663F">
              <w:rPr>
                <w:bCs/>
                <w:lang w:val="en-US"/>
              </w:rPr>
              <w:t xml:space="preserve"> </w:t>
            </w:r>
            <w:r>
              <w:rPr>
                <w:bCs/>
                <w:lang w:val="en-US"/>
              </w:rPr>
              <w:t xml:space="preserve">was presented and approved by the committee. </w:t>
            </w:r>
            <w:r w:rsidR="00D3471A">
              <w:rPr>
                <w:bCs/>
                <w:lang w:val="en-US"/>
              </w:rPr>
              <w:t xml:space="preserve"> </w:t>
            </w:r>
            <w:r w:rsidR="00D3471A">
              <w:t>Ga</w:t>
            </w:r>
            <w:r>
              <w:t xml:space="preserve">reth advised that a health and wellbeing section </w:t>
            </w:r>
            <w:r w:rsidR="00B068A3">
              <w:t xml:space="preserve">is </w:t>
            </w:r>
            <w:r>
              <w:t>being included in the People Strategy which will look at recovery, return to work and the support offered to colleagues that are absent from work and will address the points raised by the committee.</w:t>
            </w:r>
          </w:p>
          <w:p w:rsidR="00FF6E2B" w:rsidRDefault="00FF6E2B" w:rsidP="00FF6E2B"/>
          <w:p w:rsidR="00FF6E2B" w:rsidRPr="00FF6E2B" w:rsidRDefault="00FF6E2B" w:rsidP="00FF6E2B">
            <w:pPr>
              <w:rPr>
                <w:bCs/>
                <w:lang w:val="en-US"/>
              </w:rPr>
            </w:pPr>
            <w:r w:rsidRPr="0027663F">
              <w:rPr>
                <w:b/>
              </w:rPr>
              <w:t>Mandatory Training End of Year Report for 2018/19</w:t>
            </w:r>
            <w:r>
              <w:t xml:space="preserve"> was presented and discussed.</w:t>
            </w:r>
          </w:p>
          <w:p w:rsidR="00FF6E2B" w:rsidRDefault="00FF6E2B" w:rsidP="00FF6E2B"/>
          <w:p w:rsidR="00FF6E2B" w:rsidRPr="00F06CCF" w:rsidRDefault="00FF6E2B" w:rsidP="00D1343D">
            <w:pPr>
              <w:rPr>
                <w:bCs/>
                <w:lang w:val="en-US"/>
              </w:rPr>
            </w:pPr>
          </w:p>
        </w:tc>
      </w:tr>
      <w:tr w:rsidR="00FF6E2B" w:rsidRPr="00F06CCF" w:rsidTr="00D1343D">
        <w:tc>
          <w:tcPr>
            <w:tcW w:w="1217" w:type="dxa"/>
          </w:tcPr>
          <w:p w:rsidR="00FF6E2B" w:rsidRPr="00F06CCF" w:rsidRDefault="00FF6E2B" w:rsidP="00FF6E2B">
            <w:pPr>
              <w:rPr>
                <w:b/>
                <w:lang w:val="en-US"/>
              </w:rPr>
            </w:pPr>
            <w:r w:rsidRPr="00F06CCF">
              <w:rPr>
                <w:b/>
                <w:lang w:val="en-US"/>
              </w:rPr>
              <w:lastRenderedPageBreak/>
              <w:t>Effective</w:t>
            </w:r>
          </w:p>
          <w:p w:rsidR="00FF6E2B" w:rsidRDefault="00FF6E2B" w:rsidP="00FF6E2B"/>
          <w:p w:rsidR="00FF6E2B" w:rsidRDefault="00FF6E2B" w:rsidP="00FF6E2B"/>
          <w:p w:rsidR="00FF6E2B" w:rsidRPr="00B40E70" w:rsidRDefault="00FF6E2B" w:rsidP="00FF6E2B"/>
        </w:tc>
        <w:tc>
          <w:tcPr>
            <w:tcW w:w="6883" w:type="dxa"/>
          </w:tcPr>
          <w:p w:rsidR="00D1343D" w:rsidRDefault="00D1343D" w:rsidP="00273AF4">
            <w:pPr>
              <w:ind w:hanging="284"/>
              <w:rPr>
                <w:b/>
              </w:rPr>
            </w:pPr>
            <w:r>
              <w:rPr>
                <w:b/>
                <w:color w:val="000000"/>
              </w:rPr>
              <w:t xml:space="preserve">The </w:t>
            </w:r>
            <w:r w:rsidR="00FF6E2B" w:rsidRPr="00F06CCF">
              <w:rPr>
                <w:b/>
                <w:color w:val="000000"/>
              </w:rPr>
              <w:t>most appropriate treatments, interventions, support and services will be provided at the right time to everyone who will benefit, and wasteful or harmful variation will be eradicated.</w:t>
            </w:r>
            <w:r w:rsidR="00273AF4">
              <w:rPr>
                <w:b/>
              </w:rPr>
              <w:t xml:space="preserve"> </w:t>
            </w:r>
          </w:p>
          <w:p w:rsidR="00273AF4" w:rsidRDefault="00273AF4" w:rsidP="00D1343D">
            <w:pPr>
              <w:rPr>
                <w:b/>
              </w:rPr>
            </w:pPr>
          </w:p>
          <w:p w:rsidR="00D1343D" w:rsidRDefault="00D1343D" w:rsidP="00273AF4">
            <w:pPr>
              <w:rPr>
                <w:b/>
              </w:rPr>
            </w:pPr>
            <w:r>
              <w:rPr>
                <w:b/>
              </w:rPr>
              <w:t>Medical Appraisal &amp; Revalidation 6 Monthly Report.</w:t>
            </w:r>
          </w:p>
          <w:p w:rsidR="00273AF4" w:rsidRDefault="00273AF4" w:rsidP="00D1343D">
            <w:r>
              <w:t xml:space="preserve">Gareth gave Stephen Hickey’s apologies for being unable to attend and gave the update on his behalf. </w:t>
            </w:r>
            <w:r w:rsidR="00D1343D">
              <w:t>T</w:t>
            </w:r>
            <w:r>
              <w:t xml:space="preserve">he number of completed appraisals has risen to 83 with another 5 awaiting </w:t>
            </w:r>
            <w:r w:rsidR="00D3471A">
              <w:t>apprais</w:t>
            </w:r>
            <w:r w:rsidR="00B068A3">
              <w:t>al</w:t>
            </w:r>
            <w:r w:rsidR="00D1343D">
              <w:t xml:space="preserve"> confirmation,</w:t>
            </w:r>
            <w:r>
              <w:t xml:space="preserve"> bringing the total to 88 out of 113.  A further 25 have their interview date set up.</w:t>
            </w:r>
          </w:p>
          <w:p w:rsidR="00273AF4" w:rsidRDefault="00273AF4" w:rsidP="00273AF4">
            <w:pPr>
              <w:ind w:left="709"/>
            </w:pPr>
          </w:p>
          <w:p w:rsidR="00D3471A" w:rsidRDefault="00273AF4" w:rsidP="00D1343D">
            <w:r>
              <w:t xml:space="preserve">The Committee noted that it is difficult to keep on top of this process and asked Gareth to feed back their thanks to </w:t>
            </w:r>
          </w:p>
          <w:p w:rsidR="00273AF4" w:rsidRDefault="00273AF4" w:rsidP="00D1343D">
            <w:pPr>
              <w:rPr>
                <w:b/>
              </w:rPr>
            </w:pPr>
            <w:r>
              <w:t xml:space="preserve">Stephen for his contribution to the improvements made.  </w:t>
            </w:r>
          </w:p>
          <w:p w:rsidR="00FF6E2B" w:rsidRDefault="00FF6E2B" w:rsidP="00FF6E2B">
            <w:pPr>
              <w:pStyle w:val="ListParagraph"/>
              <w:ind w:left="0"/>
              <w:rPr>
                <w:b/>
                <w:color w:val="000000"/>
              </w:rPr>
            </w:pPr>
          </w:p>
          <w:p w:rsidR="00273AF4" w:rsidRDefault="00273AF4" w:rsidP="00FF6E2B">
            <w:pPr>
              <w:pStyle w:val="ListParagraph"/>
              <w:ind w:left="0"/>
              <w:rPr>
                <w:b/>
                <w:color w:val="000000"/>
              </w:rPr>
            </w:pPr>
          </w:p>
          <w:p w:rsidR="00D3471A" w:rsidRDefault="00D3471A" w:rsidP="00FF6E2B">
            <w:pPr>
              <w:pStyle w:val="ListParagraph"/>
              <w:ind w:left="0"/>
              <w:rPr>
                <w:b/>
                <w:color w:val="000000"/>
              </w:rPr>
            </w:pPr>
          </w:p>
          <w:p w:rsidR="00D3471A" w:rsidRDefault="00D3471A" w:rsidP="00FF6E2B">
            <w:pPr>
              <w:pStyle w:val="ListParagraph"/>
              <w:ind w:left="0"/>
              <w:rPr>
                <w:b/>
                <w:color w:val="000000"/>
              </w:rPr>
            </w:pPr>
          </w:p>
          <w:p w:rsidR="00273AF4" w:rsidRPr="00F06CCF" w:rsidRDefault="00273AF4" w:rsidP="00FF6E2B">
            <w:pPr>
              <w:pStyle w:val="ListParagraph"/>
              <w:ind w:left="0"/>
              <w:rPr>
                <w:b/>
                <w:color w:val="000000"/>
              </w:rPr>
            </w:pPr>
          </w:p>
          <w:p w:rsidR="00FF6E2B" w:rsidRPr="00F06CCF" w:rsidRDefault="00FF6E2B" w:rsidP="00FF6E2B">
            <w:pPr>
              <w:pStyle w:val="ListParagraph"/>
              <w:ind w:left="0"/>
              <w:rPr>
                <w:b/>
                <w:color w:val="000000"/>
              </w:rPr>
            </w:pPr>
          </w:p>
          <w:p w:rsidR="00D1343D" w:rsidRDefault="00D1343D" w:rsidP="00FF6E2B">
            <w:pPr>
              <w:rPr>
                <w:b/>
                <w:lang w:val="en-US"/>
              </w:rPr>
            </w:pPr>
            <w:r>
              <w:rPr>
                <w:b/>
                <w:lang w:val="en-US"/>
              </w:rPr>
              <w:t>AOB</w:t>
            </w:r>
          </w:p>
          <w:p w:rsidR="00D1343D" w:rsidRDefault="00D1343D" w:rsidP="00FF6E2B">
            <w:pPr>
              <w:rPr>
                <w:b/>
                <w:lang w:val="en-US"/>
              </w:rPr>
            </w:pPr>
          </w:p>
          <w:p w:rsidR="00D1343D" w:rsidRPr="00D1343D" w:rsidRDefault="00D1343D" w:rsidP="00FF6E2B">
            <w:pPr>
              <w:rPr>
                <w:lang w:val="en-US"/>
              </w:rPr>
            </w:pPr>
            <w:r w:rsidRPr="00D3471A">
              <w:rPr>
                <w:b/>
                <w:lang w:val="en-US"/>
              </w:rPr>
              <w:t>Health Improvement Scotland – Quality of Care Review</w:t>
            </w:r>
            <w:r w:rsidRPr="00D1343D">
              <w:rPr>
                <w:lang w:val="en-US"/>
              </w:rPr>
              <w:t xml:space="preserve"> team joined PCC and we had a question and answer se</w:t>
            </w:r>
            <w:r w:rsidR="00D3471A">
              <w:rPr>
                <w:lang w:val="en-US"/>
              </w:rPr>
              <w:t>ssion at the end of the meeting.</w:t>
            </w:r>
          </w:p>
          <w:p w:rsidR="00D1343D" w:rsidRPr="00D1343D" w:rsidRDefault="00D1343D" w:rsidP="00D1343D">
            <w:pPr>
              <w:ind w:left="709" w:hanging="993"/>
            </w:pPr>
            <w:r w:rsidRPr="00D1343D">
              <w:t>H</w:t>
            </w:r>
          </w:p>
          <w:p w:rsidR="00FF6E2B" w:rsidRPr="00F06CCF" w:rsidRDefault="00FF6E2B" w:rsidP="00D3471A">
            <w:pPr>
              <w:rPr>
                <w:b/>
              </w:rPr>
            </w:pPr>
          </w:p>
        </w:tc>
      </w:tr>
    </w:tbl>
    <w:p w:rsidR="00C10870" w:rsidRDefault="00C10870" w:rsidP="00C10870">
      <w:pPr>
        <w:rPr>
          <w:b/>
          <w:u w:val="single"/>
        </w:rPr>
      </w:pPr>
    </w:p>
    <w:p w:rsidR="00C10870" w:rsidRDefault="00C10870" w:rsidP="00C10870">
      <w:pPr>
        <w:rPr>
          <w:b/>
          <w:u w:val="single"/>
        </w:rPr>
      </w:pPr>
    </w:p>
    <w:p w:rsidR="00C10870" w:rsidRPr="00414A13" w:rsidRDefault="00C10870" w:rsidP="00C10870">
      <w:pPr>
        <w:rPr>
          <w:bCs/>
        </w:rPr>
      </w:pPr>
      <w:r w:rsidRPr="00414A13">
        <w:rPr>
          <w:bCs/>
        </w:rPr>
        <w:t>The nex</w:t>
      </w:r>
      <w:r w:rsidR="00824E80" w:rsidRPr="00414A13">
        <w:rPr>
          <w:bCs/>
        </w:rPr>
        <w:t>t meeting is scheduled for</w:t>
      </w:r>
      <w:r w:rsidR="00C14EC4" w:rsidRPr="00414A13">
        <w:rPr>
          <w:bCs/>
        </w:rPr>
        <w:t xml:space="preserve">:  </w:t>
      </w:r>
      <w:r w:rsidR="00414A13" w:rsidRPr="00414A13">
        <w:rPr>
          <w:bCs/>
        </w:rPr>
        <w:t>16 July 2019</w:t>
      </w:r>
    </w:p>
    <w:p w:rsidR="00C10870" w:rsidRDefault="00C10870" w:rsidP="00C10870"/>
    <w:p w:rsidR="00C10870" w:rsidRDefault="00C10870" w:rsidP="00C10870">
      <w:pPr>
        <w:rPr>
          <w:b/>
          <w:bCs/>
        </w:rPr>
      </w:pPr>
    </w:p>
    <w:p w:rsidR="00E31342" w:rsidRDefault="00414A13" w:rsidP="00C10870">
      <w:pPr>
        <w:rPr>
          <w:b/>
          <w:bCs/>
        </w:rPr>
      </w:pPr>
      <w:r>
        <w:rPr>
          <w:b/>
          <w:bCs/>
        </w:rPr>
        <w:t>Kay Harriman</w:t>
      </w:r>
    </w:p>
    <w:p w:rsidR="00414A13" w:rsidRDefault="00414A13" w:rsidP="00C10870">
      <w:pPr>
        <w:rPr>
          <w:b/>
          <w:bCs/>
        </w:rPr>
      </w:pPr>
      <w:r>
        <w:rPr>
          <w:b/>
          <w:bCs/>
        </w:rPr>
        <w:t>Non Executive Director</w:t>
      </w:r>
    </w:p>
    <w:p w:rsidR="00E31342" w:rsidRDefault="00E31342" w:rsidP="00C10870">
      <w:pPr>
        <w:rPr>
          <w:b/>
          <w:bCs/>
        </w:rPr>
      </w:pPr>
    </w:p>
    <w:p w:rsidR="00E31342" w:rsidRPr="00C92710" w:rsidRDefault="00414A13" w:rsidP="00C10870">
      <w:pPr>
        <w:rPr>
          <w:b/>
          <w:bCs/>
        </w:rPr>
      </w:pPr>
      <w:r>
        <w:rPr>
          <w:b/>
          <w:bCs/>
        </w:rPr>
        <w:t>Gareth Adkins</w:t>
      </w:r>
    </w:p>
    <w:p w:rsidR="00047933" w:rsidRPr="00414A13" w:rsidRDefault="00414A13">
      <w:r>
        <w:rPr>
          <w:b/>
          <w:bCs/>
        </w:rPr>
        <w:t>Director of Quality, Innovation &amp; People</w:t>
      </w:r>
    </w:p>
    <w:sectPr w:rsidR="00047933" w:rsidRPr="00414A13" w:rsidSect="000C18E0">
      <w:headerReference w:type="default" r:id="rId8"/>
      <w:footerReference w:type="even" r:id="rId9"/>
      <w:footerReference w:type="default" r:id="rId10"/>
      <w:pgSz w:w="11906" w:h="16838"/>
      <w:pgMar w:top="1440" w:right="1841"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EB1" w:rsidRDefault="00366EB1">
      <w:r>
        <w:separator/>
      </w:r>
    </w:p>
  </w:endnote>
  <w:endnote w:type="continuationSeparator" w:id="0">
    <w:p w:rsidR="00366EB1" w:rsidRDefault="00366E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342" w:rsidRDefault="00E31342"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1342" w:rsidRDefault="00E313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342" w:rsidRDefault="00E31342"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18E0">
      <w:rPr>
        <w:rStyle w:val="PageNumber"/>
        <w:noProof/>
      </w:rPr>
      <w:t>1</w:t>
    </w:r>
    <w:r>
      <w:rPr>
        <w:rStyle w:val="PageNumber"/>
      </w:rPr>
      <w:fldChar w:fldCharType="end"/>
    </w:r>
  </w:p>
  <w:p w:rsidR="00E31342" w:rsidRDefault="00E313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EB1" w:rsidRDefault="00366EB1">
      <w:r>
        <w:separator/>
      </w:r>
    </w:p>
  </w:footnote>
  <w:footnote w:type="continuationSeparator" w:id="0">
    <w:p w:rsidR="00366EB1" w:rsidRDefault="00366E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8E0" w:rsidRPr="00CF6461" w:rsidRDefault="000C18E0" w:rsidP="000C18E0">
    <w:pPr>
      <w:pStyle w:val="Header"/>
      <w:jc w:val="right"/>
      <w:rPr>
        <w:b/>
        <w:color w:val="0070C0"/>
        <w:sz w:val="28"/>
        <w:szCs w:val="28"/>
      </w:rPr>
    </w:pPr>
    <w:r>
      <w:rPr>
        <w:b/>
        <w:color w:val="0070C0"/>
        <w:sz w:val="28"/>
        <w:szCs w:val="28"/>
      </w:rPr>
      <w:t>Item 5.6</w:t>
    </w:r>
  </w:p>
  <w:p w:rsidR="000C18E0" w:rsidRDefault="000C18E0">
    <w:pPr>
      <w:pStyle w:val="Header"/>
    </w:pPr>
  </w:p>
  <w:p w:rsidR="000C18E0" w:rsidRDefault="000C18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4010D"/>
    <w:multiLevelType w:val="hybridMultilevel"/>
    <w:tmpl w:val="D97605F4"/>
    <w:lvl w:ilvl="0" w:tplc="08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nsid w:val="19114DE1"/>
    <w:multiLevelType w:val="hybridMultilevel"/>
    <w:tmpl w:val="0FF69A2C"/>
    <w:lvl w:ilvl="0" w:tplc="08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nsid w:val="1B7C0937"/>
    <w:multiLevelType w:val="hybridMultilevel"/>
    <w:tmpl w:val="48F691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BCB75FE"/>
    <w:multiLevelType w:val="hybridMultilevel"/>
    <w:tmpl w:val="BF70C360"/>
    <w:lvl w:ilvl="0" w:tplc="08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nsid w:val="1EE60C36"/>
    <w:multiLevelType w:val="hybridMultilevel"/>
    <w:tmpl w:val="34E6CF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27926E6"/>
    <w:multiLevelType w:val="hybridMultilevel"/>
    <w:tmpl w:val="1E2AA49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2BB26D0"/>
    <w:multiLevelType w:val="hybridMultilevel"/>
    <w:tmpl w:val="ACE43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FA3446F"/>
    <w:multiLevelType w:val="hybridMultilevel"/>
    <w:tmpl w:val="38B4AE30"/>
    <w:lvl w:ilvl="0" w:tplc="08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nsid w:val="3896030C"/>
    <w:multiLevelType w:val="hybridMultilevel"/>
    <w:tmpl w:val="401621A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B9E5218"/>
    <w:multiLevelType w:val="hybridMultilevel"/>
    <w:tmpl w:val="39328CB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435720E6"/>
    <w:multiLevelType w:val="hybridMultilevel"/>
    <w:tmpl w:val="7C9AA84E"/>
    <w:lvl w:ilvl="0" w:tplc="08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nsid w:val="4AC36775"/>
    <w:multiLevelType w:val="hybridMultilevel"/>
    <w:tmpl w:val="8278B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9282DFE"/>
    <w:multiLevelType w:val="hybridMultilevel"/>
    <w:tmpl w:val="45BC8902"/>
    <w:lvl w:ilvl="0" w:tplc="08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nsid w:val="65070E76"/>
    <w:multiLevelType w:val="hybridMultilevel"/>
    <w:tmpl w:val="0F0E03C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5C20714"/>
    <w:multiLevelType w:val="hybridMultilevel"/>
    <w:tmpl w:val="94842CF2"/>
    <w:lvl w:ilvl="0" w:tplc="08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nsid w:val="67D649C1"/>
    <w:multiLevelType w:val="hybridMultilevel"/>
    <w:tmpl w:val="8D3013E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F892B70"/>
    <w:multiLevelType w:val="hybridMultilevel"/>
    <w:tmpl w:val="5AE2F7AE"/>
    <w:lvl w:ilvl="0" w:tplc="08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nsid w:val="78371545"/>
    <w:multiLevelType w:val="hybridMultilevel"/>
    <w:tmpl w:val="9AB8F7EE"/>
    <w:lvl w:ilvl="0" w:tplc="08090005">
      <w:start w:val="1"/>
      <w:numFmt w:val="bullet"/>
      <w:lvlText w:val=""/>
      <w:lvlJc w:val="left"/>
      <w:pPr>
        <w:tabs>
          <w:tab w:val="num" w:pos="2208"/>
        </w:tabs>
        <w:ind w:left="2208" w:hanging="360"/>
      </w:pPr>
      <w:rPr>
        <w:rFonts w:ascii="Wingdings" w:hAnsi="Wingdings" w:hint="default"/>
      </w:rPr>
    </w:lvl>
    <w:lvl w:ilvl="1" w:tplc="08090003" w:tentative="1">
      <w:start w:val="1"/>
      <w:numFmt w:val="bullet"/>
      <w:lvlText w:val="o"/>
      <w:lvlJc w:val="left"/>
      <w:pPr>
        <w:tabs>
          <w:tab w:val="num" w:pos="2928"/>
        </w:tabs>
        <w:ind w:left="2928" w:hanging="360"/>
      </w:pPr>
      <w:rPr>
        <w:rFonts w:ascii="Courier New" w:hAnsi="Courier New" w:cs="Courier New" w:hint="default"/>
      </w:rPr>
    </w:lvl>
    <w:lvl w:ilvl="2" w:tplc="08090005">
      <w:start w:val="1"/>
      <w:numFmt w:val="bullet"/>
      <w:lvlText w:val=""/>
      <w:lvlJc w:val="left"/>
      <w:pPr>
        <w:tabs>
          <w:tab w:val="num" w:pos="3648"/>
        </w:tabs>
        <w:ind w:left="3648" w:hanging="360"/>
      </w:pPr>
      <w:rPr>
        <w:rFonts w:ascii="Wingdings" w:hAnsi="Wingdings" w:hint="default"/>
      </w:rPr>
    </w:lvl>
    <w:lvl w:ilvl="3" w:tplc="08090001" w:tentative="1">
      <w:start w:val="1"/>
      <w:numFmt w:val="bullet"/>
      <w:lvlText w:val=""/>
      <w:lvlJc w:val="left"/>
      <w:pPr>
        <w:tabs>
          <w:tab w:val="num" w:pos="4368"/>
        </w:tabs>
        <w:ind w:left="4368" w:hanging="360"/>
      </w:pPr>
      <w:rPr>
        <w:rFonts w:ascii="Symbol" w:hAnsi="Symbol" w:hint="default"/>
      </w:rPr>
    </w:lvl>
    <w:lvl w:ilvl="4" w:tplc="08090003" w:tentative="1">
      <w:start w:val="1"/>
      <w:numFmt w:val="bullet"/>
      <w:lvlText w:val="o"/>
      <w:lvlJc w:val="left"/>
      <w:pPr>
        <w:tabs>
          <w:tab w:val="num" w:pos="5088"/>
        </w:tabs>
        <w:ind w:left="5088" w:hanging="360"/>
      </w:pPr>
      <w:rPr>
        <w:rFonts w:ascii="Courier New" w:hAnsi="Courier New" w:cs="Courier New" w:hint="default"/>
      </w:rPr>
    </w:lvl>
    <w:lvl w:ilvl="5" w:tplc="08090005" w:tentative="1">
      <w:start w:val="1"/>
      <w:numFmt w:val="bullet"/>
      <w:lvlText w:val=""/>
      <w:lvlJc w:val="left"/>
      <w:pPr>
        <w:tabs>
          <w:tab w:val="num" w:pos="5808"/>
        </w:tabs>
        <w:ind w:left="5808" w:hanging="360"/>
      </w:pPr>
      <w:rPr>
        <w:rFonts w:ascii="Wingdings" w:hAnsi="Wingdings" w:hint="default"/>
      </w:rPr>
    </w:lvl>
    <w:lvl w:ilvl="6" w:tplc="08090001" w:tentative="1">
      <w:start w:val="1"/>
      <w:numFmt w:val="bullet"/>
      <w:lvlText w:val=""/>
      <w:lvlJc w:val="left"/>
      <w:pPr>
        <w:tabs>
          <w:tab w:val="num" w:pos="6528"/>
        </w:tabs>
        <w:ind w:left="6528" w:hanging="360"/>
      </w:pPr>
      <w:rPr>
        <w:rFonts w:ascii="Symbol" w:hAnsi="Symbol" w:hint="default"/>
      </w:rPr>
    </w:lvl>
    <w:lvl w:ilvl="7" w:tplc="08090003" w:tentative="1">
      <w:start w:val="1"/>
      <w:numFmt w:val="bullet"/>
      <w:lvlText w:val="o"/>
      <w:lvlJc w:val="left"/>
      <w:pPr>
        <w:tabs>
          <w:tab w:val="num" w:pos="7248"/>
        </w:tabs>
        <w:ind w:left="7248" w:hanging="360"/>
      </w:pPr>
      <w:rPr>
        <w:rFonts w:ascii="Courier New" w:hAnsi="Courier New" w:cs="Courier New" w:hint="default"/>
      </w:rPr>
    </w:lvl>
    <w:lvl w:ilvl="8" w:tplc="08090005" w:tentative="1">
      <w:start w:val="1"/>
      <w:numFmt w:val="bullet"/>
      <w:lvlText w:val=""/>
      <w:lvlJc w:val="left"/>
      <w:pPr>
        <w:tabs>
          <w:tab w:val="num" w:pos="7968"/>
        </w:tabs>
        <w:ind w:left="7968" w:hanging="360"/>
      </w:pPr>
      <w:rPr>
        <w:rFonts w:ascii="Wingdings" w:hAnsi="Wingdings" w:hint="default"/>
      </w:rPr>
    </w:lvl>
  </w:abstractNum>
  <w:num w:numId="1">
    <w:abstractNumId w:val="2"/>
  </w:num>
  <w:num w:numId="2">
    <w:abstractNumId w:val="11"/>
  </w:num>
  <w:num w:numId="3">
    <w:abstractNumId w:val="9"/>
  </w:num>
  <w:num w:numId="4">
    <w:abstractNumId w:val="6"/>
  </w:num>
  <w:num w:numId="5">
    <w:abstractNumId w:val="17"/>
  </w:num>
  <w:num w:numId="6">
    <w:abstractNumId w:val="5"/>
  </w:num>
  <w:num w:numId="7">
    <w:abstractNumId w:val="12"/>
  </w:num>
  <w:num w:numId="8">
    <w:abstractNumId w:val="10"/>
  </w:num>
  <w:num w:numId="9">
    <w:abstractNumId w:val="1"/>
  </w:num>
  <w:num w:numId="10">
    <w:abstractNumId w:val="3"/>
  </w:num>
  <w:num w:numId="11">
    <w:abstractNumId w:val="15"/>
  </w:num>
  <w:num w:numId="12">
    <w:abstractNumId w:val="4"/>
  </w:num>
  <w:num w:numId="13">
    <w:abstractNumId w:val="14"/>
  </w:num>
  <w:num w:numId="14">
    <w:abstractNumId w:val="13"/>
  </w:num>
  <w:num w:numId="15">
    <w:abstractNumId w:val="7"/>
  </w:num>
  <w:num w:numId="16">
    <w:abstractNumId w:val="0"/>
  </w:num>
  <w:num w:numId="17">
    <w:abstractNumId w:val="16"/>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C10870"/>
    <w:rsid w:val="00047933"/>
    <w:rsid w:val="00081580"/>
    <w:rsid w:val="000C18E0"/>
    <w:rsid w:val="000E35DA"/>
    <w:rsid w:val="00156C33"/>
    <w:rsid w:val="001A6659"/>
    <w:rsid w:val="001C373C"/>
    <w:rsid w:val="00244ECB"/>
    <w:rsid w:val="00273AF4"/>
    <w:rsid w:val="0027663F"/>
    <w:rsid w:val="00356A46"/>
    <w:rsid w:val="00366EB1"/>
    <w:rsid w:val="00414A13"/>
    <w:rsid w:val="0049413C"/>
    <w:rsid w:val="004E7005"/>
    <w:rsid w:val="00514C37"/>
    <w:rsid w:val="00522F0C"/>
    <w:rsid w:val="005702BC"/>
    <w:rsid w:val="005D2D73"/>
    <w:rsid w:val="005E6A62"/>
    <w:rsid w:val="005E78E8"/>
    <w:rsid w:val="006138A0"/>
    <w:rsid w:val="00676A60"/>
    <w:rsid w:val="00824E80"/>
    <w:rsid w:val="00824E9B"/>
    <w:rsid w:val="00870A6D"/>
    <w:rsid w:val="00896DD6"/>
    <w:rsid w:val="008A5A4B"/>
    <w:rsid w:val="008B48D4"/>
    <w:rsid w:val="009D11A7"/>
    <w:rsid w:val="00A31B1F"/>
    <w:rsid w:val="00B068A3"/>
    <w:rsid w:val="00B456FA"/>
    <w:rsid w:val="00BB5205"/>
    <w:rsid w:val="00C10870"/>
    <w:rsid w:val="00C14EC4"/>
    <w:rsid w:val="00C429E1"/>
    <w:rsid w:val="00C66FE3"/>
    <w:rsid w:val="00D1343D"/>
    <w:rsid w:val="00D3471A"/>
    <w:rsid w:val="00DB65B0"/>
    <w:rsid w:val="00DD6C72"/>
    <w:rsid w:val="00E31342"/>
    <w:rsid w:val="00F06CCF"/>
    <w:rsid w:val="00F74E47"/>
    <w:rsid w:val="00FE31C4"/>
    <w:rsid w:val="00FF6E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870"/>
    <w:rPr>
      <w:rFonts w:ascii="Arial" w:hAnsi="Arial" w:cs="Arial"/>
      <w:sz w:val="24"/>
      <w:szCs w:val="24"/>
      <w:lang w:eastAsia="en-US"/>
    </w:rPr>
  </w:style>
  <w:style w:type="paragraph" w:styleId="Heading1">
    <w:name w:val="heading 1"/>
    <w:basedOn w:val="Normal"/>
    <w:next w:val="Normal"/>
    <w:qFormat/>
    <w:rsid w:val="00C10870"/>
    <w:pPr>
      <w:keepNext/>
      <w:outlineLvl w:val="0"/>
    </w:pPr>
    <w:rPr>
      <w:rFonts w:ascii="Times New Roman" w:hAnsi="Times New Roman" w:cs="Times New Roman"/>
      <w:b/>
      <w:bCs/>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10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10870"/>
    <w:pPr>
      <w:tabs>
        <w:tab w:val="center" w:pos="4153"/>
        <w:tab w:val="right" w:pos="8306"/>
      </w:tabs>
    </w:pPr>
  </w:style>
  <w:style w:type="character" w:styleId="PageNumber">
    <w:name w:val="page number"/>
    <w:basedOn w:val="DefaultParagraphFont"/>
    <w:rsid w:val="00C10870"/>
  </w:style>
  <w:style w:type="paragraph" w:styleId="ListParagraph">
    <w:name w:val="List Paragraph"/>
    <w:basedOn w:val="Normal"/>
    <w:qFormat/>
    <w:rsid w:val="00C10870"/>
    <w:pPr>
      <w:ind w:left="720"/>
    </w:pPr>
  </w:style>
  <w:style w:type="paragraph" w:styleId="DocumentMap">
    <w:name w:val="Document Map"/>
    <w:basedOn w:val="Normal"/>
    <w:semiHidden/>
    <w:rsid w:val="001A6659"/>
    <w:pPr>
      <w:shd w:val="clear" w:color="auto" w:fill="000080"/>
    </w:pPr>
    <w:rPr>
      <w:rFonts w:ascii="Tahoma" w:hAnsi="Tahoma" w:cs="Tahoma"/>
      <w:sz w:val="20"/>
      <w:szCs w:val="20"/>
    </w:rPr>
  </w:style>
  <w:style w:type="paragraph" w:styleId="BalloonText">
    <w:name w:val="Balloon Text"/>
    <w:basedOn w:val="Normal"/>
    <w:link w:val="BalloonTextChar"/>
    <w:rsid w:val="00B068A3"/>
    <w:rPr>
      <w:rFonts w:ascii="Tahoma" w:hAnsi="Tahoma" w:cs="Tahoma"/>
      <w:sz w:val="16"/>
      <w:szCs w:val="16"/>
    </w:rPr>
  </w:style>
  <w:style w:type="character" w:customStyle="1" w:styleId="BalloonTextChar">
    <w:name w:val="Balloon Text Char"/>
    <w:basedOn w:val="DefaultParagraphFont"/>
    <w:link w:val="BalloonText"/>
    <w:rsid w:val="00B068A3"/>
    <w:rPr>
      <w:rFonts w:ascii="Tahoma" w:hAnsi="Tahoma" w:cs="Tahoma"/>
      <w:sz w:val="16"/>
      <w:szCs w:val="16"/>
      <w:lang w:eastAsia="en-US"/>
    </w:rPr>
  </w:style>
  <w:style w:type="paragraph" w:styleId="Header">
    <w:name w:val="header"/>
    <w:basedOn w:val="Normal"/>
    <w:link w:val="HeaderChar"/>
    <w:uiPriority w:val="99"/>
    <w:rsid w:val="000C18E0"/>
    <w:pPr>
      <w:tabs>
        <w:tab w:val="center" w:pos="4513"/>
        <w:tab w:val="right" w:pos="9026"/>
      </w:tabs>
    </w:pPr>
  </w:style>
  <w:style w:type="character" w:customStyle="1" w:styleId="HeaderChar">
    <w:name w:val="Header Char"/>
    <w:basedOn w:val="DefaultParagraphFont"/>
    <w:link w:val="Header"/>
    <w:uiPriority w:val="99"/>
    <w:rsid w:val="000C18E0"/>
    <w:rPr>
      <w:rFonts w:ascii="Arial"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divs>
    <w:div w:id="139202122">
      <w:bodyDiv w:val="1"/>
      <w:marLeft w:val="0"/>
      <w:marRight w:val="0"/>
      <w:marTop w:val="0"/>
      <w:marBottom w:val="0"/>
      <w:divBdr>
        <w:top w:val="none" w:sz="0" w:space="0" w:color="auto"/>
        <w:left w:val="none" w:sz="0" w:space="0" w:color="auto"/>
        <w:bottom w:val="none" w:sz="0" w:space="0" w:color="auto"/>
        <w:right w:val="none" w:sz="0" w:space="0" w:color="auto"/>
      </w:divBdr>
    </w:div>
    <w:div w:id="375203175">
      <w:bodyDiv w:val="1"/>
      <w:marLeft w:val="0"/>
      <w:marRight w:val="0"/>
      <w:marTop w:val="0"/>
      <w:marBottom w:val="0"/>
      <w:divBdr>
        <w:top w:val="none" w:sz="0" w:space="0" w:color="auto"/>
        <w:left w:val="none" w:sz="0" w:space="0" w:color="auto"/>
        <w:bottom w:val="none" w:sz="0" w:space="0" w:color="auto"/>
        <w:right w:val="none" w:sz="0" w:space="0" w:color="auto"/>
      </w:divBdr>
    </w:div>
    <w:div w:id="514657895">
      <w:bodyDiv w:val="1"/>
      <w:marLeft w:val="0"/>
      <w:marRight w:val="0"/>
      <w:marTop w:val="0"/>
      <w:marBottom w:val="0"/>
      <w:divBdr>
        <w:top w:val="none" w:sz="0" w:space="0" w:color="auto"/>
        <w:left w:val="none" w:sz="0" w:space="0" w:color="auto"/>
        <w:bottom w:val="none" w:sz="0" w:space="0" w:color="auto"/>
        <w:right w:val="none" w:sz="0" w:space="0" w:color="auto"/>
      </w:divBdr>
    </w:div>
    <w:div w:id="882132010">
      <w:bodyDiv w:val="1"/>
      <w:marLeft w:val="0"/>
      <w:marRight w:val="0"/>
      <w:marTop w:val="0"/>
      <w:marBottom w:val="0"/>
      <w:divBdr>
        <w:top w:val="none" w:sz="0" w:space="0" w:color="auto"/>
        <w:left w:val="none" w:sz="0" w:space="0" w:color="auto"/>
        <w:bottom w:val="none" w:sz="0" w:space="0" w:color="auto"/>
        <w:right w:val="none" w:sz="0" w:space="0" w:color="auto"/>
      </w:divBdr>
      <w:divsChild>
        <w:div w:id="626010309">
          <w:marLeft w:val="0"/>
          <w:marRight w:val="0"/>
          <w:marTop w:val="0"/>
          <w:marBottom w:val="0"/>
          <w:divBdr>
            <w:top w:val="none" w:sz="0" w:space="0" w:color="auto"/>
            <w:left w:val="none" w:sz="0" w:space="0" w:color="auto"/>
            <w:bottom w:val="none" w:sz="0" w:space="0" w:color="auto"/>
            <w:right w:val="none" w:sz="0" w:space="0" w:color="auto"/>
          </w:divBdr>
          <w:divsChild>
            <w:div w:id="94790597">
              <w:marLeft w:val="0"/>
              <w:marRight w:val="0"/>
              <w:marTop w:val="0"/>
              <w:marBottom w:val="0"/>
              <w:divBdr>
                <w:top w:val="none" w:sz="0" w:space="0" w:color="auto"/>
                <w:left w:val="none" w:sz="0" w:space="0" w:color="auto"/>
                <w:bottom w:val="none" w:sz="0" w:space="0" w:color="auto"/>
                <w:right w:val="none" w:sz="0" w:space="0" w:color="auto"/>
              </w:divBdr>
            </w:div>
            <w:div w:id="234318950">
              <w:marLeft w:val="0"/>
              <w:marRight w:val="0"/>
              <w:marTop w:val="0"/>
              <w:marBottom w:val="0"/>
              <w:divBdr>
                <w:top w:val="none" w:sz="0" w:space="0" w:color="auto"/>
                <w:left w:val="none" w:sz="0" w:space="0" w:color="auto"/>
                <w:bottom w:val="none" w:sz="0" w:space="0" w:color="auto"/>
                <w:right w:val="none" w:sz="0" w:space="0" w:color="auto"/>
              </w:divBdr>
            </w:div>
            <w:div w:id="860045233">
              <w:marLeft w:val="0"/>
              <w:marRight w:val="0"/>
              <w:marTop w:val="0"/>
              <w:marBottom w:val="0"/>
              <w:divBdr>
                <w:top w:val="none" w:sz="0" w:space="0" w:color="auto"/>
                <w:left w:val="none" w:sz="0" w:space="0" w:color="auto"/>
                <w:bottom w:val="none" w:sz="0" w:space="0" w:color="auto"/>
                <w:right w:val="none" w:sz="0" w:space="0" w:color="auto"/>
              </w:divBdr>
            </w:div>
            <w:div w:id="1258489323">
              <w:marLeft w:val="0"/>
              <w:marRight w:val="0"/>
              <w:marTop w:val="0"/>
              <w:marBottom w:val="0"/>
              <w:divBdr>
                <w:top w:val="none" w:sz="0" w:space="0" w:color="auto"/>
                <w:left w:val="none" w:sz="0" w:space="0" w:color="auto"/>
                <w:bottom w:val="none" w:sz="0" w:space="0" w:color="auto"/>
                <w:right w:val="none" w:sz="0" w:space="0" w:color="auto"/>
              </w:divBdr>
            </w:div>
            <w:div w:id="14580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83921">
      <w:bodyDiv w:val="1"/>
      <w:marLeft w:val="0"/>
      <w:marRight w:val="0"/>
      <w:marTop w:val="0"/>
      <w:marBottom w:val="0"/>
      <w:divBdr>
        <w:top w:val="none" w:sz="0" w:space="0" w:color="auto"/>
        <w:left w:val="none" w:sz="0" w:space="0" w:color="auto"/>
        <w:bottom w:val="none" w:sz="0" w:space="0" w:color="auto"/>
        <w:right w:val="none" w:sz="0" w:space="0" w:color="auto"/>
      </w:divBdr>
    </w:div>
    <w:div w:id="991446435">
      <w:bodyDiv w:val="1"/>
      <w:marLeft w:val="0"/>
      <w:marRight w:val="0"/>
      <w:marTop w:val="0"/>
      <w:marBottom w:val="0"/>
      <w:divBdr>
        <w:top w:val="none" w:sz="0" w:space="0" w:color="auto"/>
        <w:left w:val="none" w:sz="0" w:space="0" w:color="auto"/>
        <w:bottom w:val="none" w:sz="0" w:space="0" w:color="auto"/>
        <w:right w:val="none" w:sz="0" w:space="0" w:color="auto"/>
      </w:divBdr>
    </w:div>
    <w:div w:id="996568354">
      <w:bodyDiv w:val="1"/>
      <w:marLeft w:val="0"/>
      <w:marRight w:val="0"/>
      <w:marTop w:val="0"/>
      <w:marBottom w:val="0"/>
      <w:divBdr>
        <w:top w:val="none" w:sz="0" w:space="0" w:color="auto"/>
        <w:left w:val="none" w:sz="0" w:space="0" w:color="auto"/>
        <w:bottom w:val="none" w:sz="0" w:space="0" w:color="auto"/>
        <w:right w:val="none" w:sz="0" w:space="0" w:color="auto"/>
      </w:divBdr>
    </w:div>
    <w:div w:id="1005670550">
      <w:bodyDiv w:val="1"/>
      <w:marLeft w:val="0"/>
      <w:marRight w:val="0"/>
      <w:marTop w:val="0"/>
      <w:marBottom w:val="0"/>
      <w:divBdr>
        <w:top w:val="none" w:sz="0" w:space="0" w:color="auto"/>
        <w:left w:val="none" w:sz="0" w:space="0" w:color="auto"/>
        <w:bottom w:val="none" w:sz="0" w:space="0" w:color="auto"/>
        <w:right w:val="none" w:sz="0" w:space="0" w:color="auto"/>
      </w:divBdr>
    </w:div>
    <w:div w:id="1672491561">
      <w:bodyDiv w:val="1"/>
      <w:marLeft w:val="0"/>
      <w:marRight w:val="0"/>
      <w:marTop w:val="0"/>
      <w:marBottom w:val="0"/>
      <w:divBdr>
        <w:top w:val="none" w:sz="0" w:space="0" w:color="auto"/>
        <w:left w:val="none" w:sz="0" w:space="0" w:color="auto"/>
        <w:bottom w:val="none" w:sz="0" w:space="0" w:color="auto"/>
        <w:right w:val="none" w:sz="0" w:space="0" w:color="auto"/>
      </w:divBdr>
      <w:divsChild>
        <w:div w:id="2133277796">
          <w:marLeft w:val="0"/>
          <w:marRight w:val="0"/>
          <w:marTop w:val="0"/>
          <w:marBottom w:val="0"/>
          <w:divBdr>
            <w:top w:val="none" w:sz="0" w:space="0" w:color="auto"/>
            <w:left w:val="none" w:sz="0" w:space="0" w:color="auto"/>
            <w:bottom w:val="none" w:sz="0" w:space="0" w:color="auto"/>
            <w:right w:val="none" w:sz="0" w:space="0" w:color="auto"/>
          </w:divBdr>
          <w:divsChild>
            <w:div w:id="768551959">
              <w:marLeft w:val="0"/>
              <w:marRight w:val="0"/>
              <w:marTop w:val="0"/>
              <w:marBottom w:val="0"/>
              <w:divBdr>
                <w:top w:val="none" w:sz="0" w:space="0" w:color="auto"/>
                <w:left w:val="none" w:sz="0" w:space="0" w:color="auto"/>
                <w:bottom w:val="none" w:sz="0" w:space="0" w:color="auto"/>
                <w:right w:val="none" w:sz="0" w:space="0" w:color="auto"/>
              </w:divBdr>
            </w:div>
            <w:div w:id="826481691">
              <w:marLeft w:val="0"/>
              <w:marRight w:val="0"/>
              <w:marTop w:val="0"/>
              <w:marBottom w:val="0"/>
              <w:divBdr>
                <w:top w:val="none" w:sz="0" w:space="0" w:color="auto"/>
                <w:left w:val="none" w:sz="0" w:space="0" w:color="auto"/>
                <w:bottom w:val="none" w:sz="0" w:space="0" w:color="auto"/>
                <w:right w:val="none" w:sz="0" w:space="0" w:color="auto"/>
              </w:divBdr>
            </w:div>
            <w:div w:id="1000430244">
              <w:marLeft w:val="0"/>
              <w:marRight w:val="0"/>
              <w:marTop w:val="0"/>
              <w:marBottom w:val="0"/>
              <w:divBdr>
                <w:top w:val="none" w:sz="0" w:space="0" w:color="auto"/>
                <w:left w:val="none" w:sz="0" w:space="0" w:color="auto"/>
                <w:bottom w:val="none" w:sz="0" w:space="0" w:color="auto"/>
                <w:right w:val="none" w:sz="0" w:space="0" w:color="auto"/>
              </w:divBdr>
            </w:div>
            <w:div w:id="16648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10559">
      <w:bodyDiv w:val="1"/>
      <w:marLeft w:val="0"/>
      <w:marRight w:val="0"/>
      <w:marTop w:val="0"/>
      <w:marBottom w:val="0"/>
      <w:divBdr>
        <w:top w:val="none" w:sz="0" w:space="0" w:color="auto"/>
        <w:left w:val="none" w:sz="0" w:space="0" w:color="auto"/>
        <w:bottom w:val="none" w:sz="0" w:space="0" w:color="auto"/>
        <w:right w:val="none" w:sz="0" w:space="0" w:color="auto"/>
      </w:divBdr>
      <w:divsChild>
        <w:div w:id="1330251996">
          <w:marLeft w:val="0"/>
          <w:marRight w:val="0"/>
          <w:marTop w:val="0"/>
          <w:marBottom w:val="0"/>
          <w:divBdr>
            <w:top w:val="none" w:sz="0" w:space="0" w:color="auto"/>
            <w:left w:val="none" w:sz="0" w:space="0" w:color="auto"/>
            <w:bottom w:val="none" w:sz="0" w:space="0" w:color="auto"/>
            <w:right w:val="none" w:sz="0" w:space="0" w:color="auto"/>
          </w:divBdr>
          <w:divsChild>
            <w:div w:id="69233890">
              <w:marLeft w:val="0"/>
              <w:marRight w:val="0"/>
              <w:marTop w:val="0"/>
              <w:marBottom w:val="0"/>
              <w:divBdr>
                <w:top w:val="none" w:sz="0" w:space="0" w:color="auto"/>
                <w:left w:val="none" w:sz="0" w:space="0" w:color="auto"/>
                <w:bottom w:val="none" w:sz="0" w:space="0" w:color="auto"/>
                <w:right w:val="none" w:sz="0" w:space="0" w:color="auto"/>
              </w:divBdr>
            </w:div>
            <w:div w:id="130831569">
              <w:marLeft w:val="0"/>
              <w:marRight w:val="0"/>
              <w:marTop w:val="0"/>
              <w:marBottom w:val="0"/>
              <w:divBdr>
                <w:top w:val="none" w:sz="0" w:space="0" w:color="auto"/>
                <w:left w:val="none" w:sz="0" w:space="0" w:color="auto"/>
                <w:bottom w:val="none" w:sz="0" w:space="0" w:color="auto"/>
                <w:right w:val="none" w:sz="0" w:space="0" w:color="auto"/>
              </w:divBdr>
            </w:div>
            <w:div w:id="792291801">
              <w:marLeft w:val="0"/>
              <w:marRight w:val="0"/>
              <w:marTop w:val="0"/>
              <w:marBottom w:val="0"/>
              <w:divBdr>
                <w:top w:val="none" w:sz="0" w:space="0" w:color="auto"/>
                <w:left w:val="none" w:sz="0" w:space="0" w:color="auto"/>
                <w:bottom w:val="none" w:sz="0" w:space="0" w:color="auto"/>
                <w:right w:val="none" w:sz="0" w:space="0" w:color="auto"/>
              </w:divBdr>
            </w:div>
            <w:div w:id="1351639429">
              <w:marLeft w:val="0"/>
              <w:marRight w:val="0"/>
              <w:marTop w:val="0"/>
              <w:marBottom w:val="0"/>
              <w:divBdr>
                <w:top w:val="none" w:sz="0" w:space="0" w:color="auto"/>
                <w:left w:val="none" w:sz="0" w:space="0" w:color="auto"/>
                <w:bottom w:val="none" w:sz="0" w:space="0" w:color="auto"/>
                <w:right w:val="none" w:sz="0" w:space="0" w:color="auto"/>
              </w:divBdr>
            </w:div>
            <w:div w:id="1352532141">
              <w:marLeft w:val="0"/>
              <w:marRight w:val="0"/>
              <w:marTop w:val="0"/>
              <w:marBottom w:val="0"/>
              <w:divBdr>
                <w:top w:val="none" w:sz="0" w:space="0" w:color="auto"/>
                <w:left w:val="none" w:sz="0" w:space="0" w:color="auto"/>
                <w:bottom w:val="none" w:sz="0" w:space="0" w:color="auto"/>
                <w:right w:val="none" w:sz="0" w:space="0" w:color="auto"/>
              </w:divBdr>
            </w:div>
            <w:div w:id="1687704912">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2035767014">
              <w:marLeft w:val="0"/>
              <w:marRight w:val="0"/>
              <w:marTop w:val="0"/>
              <w:marBottom w:val="0"/>
              <w:divBdr>
                <w:top w:val="none" w:sz="0" w:space="0" w:color="auto"/>
                <w:left w:val="none" w:sz="0" w:space="0" w:color="auto"/>
                <w:bottom w:val="none" w:sz="0" w:space="0" w:color="auto"/>
                <w:right w:val="none" w:sz="0" w:space="0" w:color="auto"/>
              </w:divBdr>
            </w:div>
            <w:div w:id="20628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5079">
      <w:bodyDiv w:val="1"/>
      <w:marLeft w:val="0"/>
      <w:marRight w:val="0"/>
      <w:marTop w:val="0"/>
      <w:marBottom w:val="0"/>
      <w:divBdr>
        <w:top w:val="none" w:sz="0" w:space="0" w:color="auto"/>
        <w:left w:val="none" w:sz="0" w:space="0" w:color="auto"/>
        <w:bottom w:val="none" w:sz="0" w:space="0" w:color="auto"/>
        <w:right w:val="none" w:sz="0" w:space="0" w:color="auto"/>
      </w:divBdr>
    </w:div>
    <w:div w:id="1989817168">
      <w:bodyDiv w:val="1"/>
      <w:marLeft w:val="0"/>
      <w:marRight w:val="0"/>
      <w:marTop w:val="0"/>
      <w:marBottom w:val="0"/>
      <w:divBdr>
        <w:top w:val="none" w:sz="0" w:space="0" w:color="auto"/>
        <w:left w:val="none" w:sz="0" w:space="0" w:color="auto"/>
        <w:bottom w:val="none" w:sz="0" w:space="0" w:color="auto"/>
        <w:right w:val="none" w:sz="0" w:space="0" w:color="auto"/>
      </w:divBdr>
    </w:div>
    <w:div w:id="199263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GJNH</dc:creator>
  <cp:lastModifiedBy>scotts2</cp:lastModifiedBy>
  <cp:revision>2</cp:revision>
  <cp:lastPrinted>2017-10-10T15:07:00Z</cp:lastPrinted>
  <dcterms:created xsi:type="dcterms:W3CDTF">2019-04-29T15:59:00Z</dcterms:created>
  <dcterms:modified xsi:type="dcterms:W3CDTF">2019-04-29T15:59:00Z</dcterms:modified>
</cp:coreProperties>
</file>