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4A0"/>
      </w:tblPr>
      <w:tblGrid>
        <w:gridCol w:w="2557"/>
        <w:gridCol w:w="4814"/>
        <w:gridCol w:w="1985"/>
      </w:tblGrid>
      <w:tr w:rsidR="005B4BA8" w:rsidRPr="00B5719A" w:rsidTr="005B4BA8">
        <w:trPr>
          <w:trHeight w:val="557"/>
        </w:trPr>
        <w:tc>
          <w:tcPr>
            <w:tcW w:w="2557" w:type="dxa"/>
          </w:tcPr>
          <w:p w:rsidR="005B4BA8" w:rsidRPr="00B5719A" w:rsidRDefault="005B4BA8" w:rsidP="005B4BA8">
            <w:pPr>
              <w:pStyle w:val="Heading1"/>
              <w:spacing w:before="60" w:after="60"/>
              <w:ind w:right="183"/>
              <w:contextualSpacing/>
              <w:rPr>
                <w:rFonts w:ascii="Arial" w:hAnsi="Arial" w:cs="Arial"/>
                <w:sz w:val="24"/>
                <w:szCs w:val="24"/>
              </w:rPr>
            </w:pPr>
            <w:r w:rsidRPr="00B5719A">
              <w:rPr>
                <w:rFonts w:ascii="Arial" w:hAnsi="Arial" w:cs="Arial"/>
                <w:sz w:val="24"/>
                <w:szCs w:val="24"/>
              </w:rPr>
              <w:t>Board Meeting:</w:t>
            </w:r>
          </w:p>
        </w:tc>
        <w:tc>
          <w:tcPr>
            <w:tcW w:w="4814" w:type="dxa"/>
          </w:tcPr>
          <w:p w:rsidR="005B4BA8" w:rsidRPr="00B5719A" w:rsidRDefault="00197A79" w:rsidP="0074139D">
            <w:pPr>
              <w:pStyle w:val="Heading1"/>
              <w:spacing w:before="60" w:after="60"/>
              <w:ind w:right="183"/>
              <w:contextualSpacing/>
              <w:rPr>
                <w:rFonts w:ascii="Arial" w:hAnsi="Arial" w:cs="Arial"/>
                <w:b w:val="0"/>
                <w:sz w:val="24"/>
                <w:szCs w:val="24"/>
              </w:rPr>
            </w:pPr>
            <w:r>
              <w:rPr>
                <w:rFonts w:ascii="Arial" w:hAnsi="Arial" w:cs="Arial"/>
                <w:b w:val="0"/>
                <w:sz w:val="24"/>
                <w:szCs w:val="24"/>
              </w:rPr>
              <w:t xml:space="preserve">9 </w:t>
            </w:r>
            <w:r w:rsidR="00812CBD">
              <w:rPr>
                <w:rFonts w:ascii="Arial" w:hAnsi="Arial" w:cs="Arial"/>
                <w:b w:val="0"/>
                <w:sz w:val="24"/>
                <w:szCs w:val="24"/>
              </w:rPr>
              <w:t xml:space="preserve">May </w:t>
            </w:r>
            <w:r w:rsidR="0074139D">
              <w:rPr>
                <w:rFonts w:ascii="Arial" w:hAnsi="Arial" w:cs="Arial"/>
                <w:b w:val="0"/>
                <w:sz w:val="24"/>
                <w:szCs w:val="24"/>
              </w:rPr>
              <w:t>2019</w:t>
            </w:r>
          </w:p>
        </w:tc>
        <w:tc>
          <w:tcPr>
            <w:tcW w:w="1985" w:type="dxa"/>
            <w:vMerge w:val="restart"/>
          </w:tcPr>
          <w:p w:rsidR="005B4BA8" w:rsidRPr="00B5719A" w:rsidRDefault="00F459C0" w:rsidP="005B4BA8">
            <w:pPr>
              <w:pStyle w:val="Heading1"/>
              <w:spacing w:before="60" w:after="60"/>
              <w:ind w:right="34"/>
              <w:contextualSpacing/>
              <w:jc w:val="right"/>
              <w:rPr>
                <w:rFonts w:ascii="Arial" w:hAnsi="Arial" w:cs="Arial"/>
                <w:sz w:val="24"/>
                <w:szCs w:val="24"/>
              </w:rPr>
            </w:pPr>
            <w:r w:rsidRPr="00B5719A">
              <w:rPr>
                <w:rFonts w:ascii="Arial" w:hAnsi="Arial" w:cs="Arial"/>
                <w:noProof/>
                <w:sz w:val="24"/>
                <w:szCs w:val="24"/>
                <w:lang w:eastAsia="en-GB"/>
              </w:rPr>
              <w:drawing>
                <wp:inline distT="0" distB="0" distL="0" distR="0">
                  <wp:extent cx="1152525" cy="981075"/>
                  <wp:effectExtent l="19050" t="0" r="9525" b="0"/>
                  <wp:docPr id="9" name="Picture 9" descr="GJF RGB WITHOUT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srcRect/>
                          <a:stretch>
                            <a:fillRect/>
                          </a:stretch>
                        </pic:blipFill>
                        <pic:spPr bwMode="auto">
                          <a:xfrm>
                            <a:off x="0" y="0"/>
                            <a:ext cx="1152525" cy="981075"/>
                          </a:xfrm>
                          <a:prstGeom prst="rect">
                            <a:avLst/>
                          </a:prstGeom>
                          <a:noFill/>
                          <a:ln w="9525">
                            <a:noFill/>
                            <a:miter lim="800000"/>
                            <a:headEnd/>
                            <a:tailEnd/>
                          </a:ln>
                        </pic:spPr>
                      </pic:pic>
                    </a:graphicData>
                  </a:graphic>
                </wp:inline>
              </w:drawing>
            </w:r>
          </w:p>
        </w:tc>
      </w:tr>
      <w:tr w:rsidR="005B4BA8" w:rsidRPr="00B5719A" w:rsidTr="005B4BA8">
        <w:trPr>
          <w:trHeight w:val="1091"/>
        </w:trPr>
        <w:tc>
          <w:tcPr>
            <w:tcW w:w="2557" w:type="dxa"/>
          </w:tcPr>
          <w:p w:rsidR="005B4BA8" w:rsidRPr="00B5719A" w:rsidRDefault="005B4BA8" w:rsidP="005B4BA8">
            <w:pPr>
              <w:pStyle w:val="Heading1"/>
              <w:spacing w:before="60" w:after="60"/>
              <w:ind w:right="183"/>
              <w:contextualSpacing/>
              <w:rPr>
                <w:rFonts w:ascii="Arial" w:hAnsi="Arial" w:cs="Arial"/>
                <w:sz w:val="24"/>
                <w:szCs w:val="24"/>
              </w:rPr>
            </w:pPr>
            <w:r w:rsidRPr="00B5719A">
              <w:rPr>
                <w:rFonts w:ascii="Arial" w:hAnsi="Arial" w:cs="Arial"/>
                <w:bCs w:val="0"/>
                <w:sz w:val="24"/>
                <w:szCs w:val="24"/>
              </w:rPr>
              <w:t>Subject:</w:t>
            </w:r>
          </w:p>
        </w:tc>
        <w:tc>
          <w:tcPr>
            <w:tcW w:w="4814" w:type="dxa"/>
          </w:tcPr>
          <w:p w:rsidR="0074139D" w:rsidRPr="00B830B4" w:rsidRDefault="0074139D" w:rsidP="0074139D">
            <w:pPr>
              <w:ind w:right="183"/>
              <w:rPr>
                <w:rFonts w:ascii="Arial" w:hAnsi="Arial" w:cs="Arial"/>
              </w:rPr>
            </w:pPr>
            <w:r w:rsidRPr="00B830B4">
              <w:rPr>
                <w:rFonts w:ascii="Arial" w:hAnsi="Arial" w:cs="Arial"/>
                <w:bCs/>
              </w:rPr>
              <w:t>Business Update</w:t>
            </w:r>
            <w:r w:rsidR="00812CBD">
              <w:rPr>
                <w:rFonts w:ascii="Arial" w:hAnsi="Arial" w:cs="Arial"/>
                <w:bCs/>
              </w:rPr>
              <w:t xml:space="preserve"> – March</w:t>
            </w:r>
            <w:r>
              <w:rPr>
                <w:rFonts w:ascii="Arial" w:hAnsi="Arial" w:cs="Arial"/>
                <w:bCs/>
              </w:rPr>
              <w:t xml:space="preserve"> 2019</w:t>
            </w:r>
          </w:p>
          <w:p w:rsidR="005B4BA8" w:rsidRPr="00B5719A" w:rsidRDefault="005B4BA8" w:rsidP="003D03FE">
            <w:pPr>
              <w:pStyle w:val="Heading1"/>
              <w:spacing w:before="60" w:after="60"/>
              <w:ind w:right="183"/>
              <w:contextualSpacing/>
              <w:rPr>
                <w:rFonts w:ascii="Arial" w:hAnsi="Arial" w:cs="Arial"/>
                <w:b w:val="0"/>
                <w:sz w:val="24"/>
                <w:szCs w:val="24"/>
              </w:rPr>
            </w:pPr>
          </w:p>
        </w:tc>
        <w:tc>
          <w:tcPr>
            <w:tcW w:w="1985" w:type="dxa"/>
            <w:vMerge/>
          </w:tcPr>
          <w:p w:rsidR="005B4BA8" w:rsidRPr="00B5719A" w:rsidRDefault="005B4BA8" w:rsidP="005B4BA8">
            <w:pPr>
              <w:pStyle w:val="Heading1"/>
              <w:spacing w:before="60" w:after="60"/>
              <w:ind w:right="183"/>
              <w:contextualSpacing/>
              <w:rPr>
                <w:rFonts w:ascii="Arial" w:hAnsi="Arial" w:cs="Arial"/>
                <w:noProof/>
                <w:sz w:val="24"/>
                <w:szCs w:val="24"/>
                <w:lang w:eastAsia="en-GB"/>
              </w:rPr>
            </w:pPr>
          </w:p>
        </w:tc>
      </w:tr>
      <w:tr w:rsidR="005B4BA8" w:rsidRPr="00B5719A" w:rsidTr="005B4BA8">
        <w:trPr>
          <w:trHeight w:val="499"/>
        </w:trPr>
        <w:tc>
          <w:tcPr>
            <w:tcW w:w="2557" w:type="dxa"/>
          </w:tcPr>
          <w:p w:rsidR="005B4BA8" w:rsidRPr="00B5719A" w:rsidRDefault="005B4BA8" w:rsidP="005B4BA8">
            <w:pPr>
              <w:pStyle w:val="Heading1"/>
              <w:spacing w:before="120" w:after="60"/>
              <w:ind w:right="183"/>
              <w:contextualSpacing/>
              <w:rPr>
                <w:rFonts w:ascii="Arial" w:hAnsi="Arial" w:cs="Arial"/>
                <w:sz w:val="24"/>
                <w:szCs w:val="24"/>
              </w:rPr>
            </w:pPr>
            <w:r w:rsidRPr="00B5719A">
              <w:rPr>
                <w:rFonts w:ascii="Arial" w:hAnsi="Arial" w:cs="Arial"/>
                <w:bCs w:val="0"/>
                <w:sz w:val="24"/>
                <w:szCs w:val="24"/>
              </w:rPr>
              <w:t>Recommendation:</w:t>
            </w:r>
            <w:r w:rsidRPr="00B5719A">
              <w:rPr>
                <w:rFonts w:ascii="Arial" w:hAnsi="Arial" w:cs="Arial"/>
                <w:bCs w:val="0"/>
                <w:sz w:val="24"/>
                <w:szCs w:val="24"/>
              </w:rPr>
              <w:tab/>
            </w:r>
          </w:p>
        </w:tc>
        <w:tc>
          <w:tcPr>
            <w:tcW w:w="6799" w:type="dxa"/>
            <w:gridSpan w:val="2"/>
          </w:tcPr>
          <w:p w:rsidR="005B4BA8" w:rsidRPr="00B5719A" w:rsidRDefault="005B4BA8" w:rsidP="005B4BA8">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Board members are asked to:</w:t>
            </w:r>
          </w:p>
          <w:p w:rsidR="005B4BA8" w:rsidRPr="00B5719A" w:rsidRDefault="005B4BA8" w:rsidP="005B4BA8">
            <w:pPr>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4"/>
              <w:gridCol w:w="850"/>
            </w:tblGrid>
            <w:tr w:rsidR="005B4BA8" w:rsidRPr="00B5719A" w:rsidTr="007B4090">
              <w:tc>
                <w:tcPr>
                  <w:tcW w:w="5694" w:type="dxa"/>
                </w:tcPr>
                <w:p w:rsidR="005B4BA8" w:rsidRPr="00B5719A" w:rsidRDefault="002253CC" w:rsidP="005B4BA8">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Discuss and Note</w:t>
                  </w:r>
                </w:p>
              </w:tc>
              <w:tc>
                <w:tcPr>
                  <w:tcW w:w="850" w:type="dxa"/>
                </w:tcPr>
                <w:p w:rsidR="005B4BA8" w:rsidRPr="00812CBD" w:rsidRDefault="005B4BA8" w:rsidP="00812CBD">
                  <w:pPr>
                    <w:pStyle w:val="ListParagraph"/>
                    <w:numPr>
                      <w:ilvl w:val="0"/>
                      <w:numId w:val="23"/>
                    </w:numPr>
                    <w:spacing w:before="120" w:after="60"/>
                    <w:contextualSpacing/>
                    <w:rPr>
                      <w:rFonts w:ascii="Arial" w:hAnsi="Arial" w:cs="Arial"/>
                    </w:rPr>
                  </w:pPr>
                </w:p>
              </w:tc>
            </w:tr>
            <w:tr w:rsidR="005B4BA8" w:rsidRPr="00B5719A" w:rsidTr="007B4090">
              <w:tc>
                <w:tcPr>
                  <w:tcW w:w="5694" w:type="dxa"/>
                </w:tcPr>
                <w:p w:rsidR="005B4BA8" w:rsidRPr="00B5719A" w:rsidRDefault="002253CC" w:rsidP="005B4BA8">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Discuss and Approve</w:t>
                  </w:r>
                </w:p>
              </w:tc>
              <w:tc>
                <w:tcPr>
                  <w:tcW w:w="850" w:type="dxa"/>
                </w:tcPr>
                <w:p w:rsidR="005B4BA8" w:rsidRPr="00B5719A" w:rsidRDefault="005B4BA8" w:rsidP="005B4BA8">
                  <w:pPr>
                    <w:spacing w:before="120" w:after="60"/>
                    <w:contextualSpacing/>
                    <w:rPr>
                      <w:rFonts w:ascii="Arial" w:hAnsi="Arial" w:cs="Arial"/>
                    </w:rPr>
                  </w:pPr>
                </w:p>
              </w:tc>
            </w:tr>
            <w:tr w:rsidR="005B4BA8" w:rsidRPr="00B5719A" w:rsidTr="007B4090">
              <w:tc>
                <w:tcPr>
                  <w:tcW w:w="5694" w:type="dxa"/>
                </w:tcPr>
                <w:p w:rsidR="005B4BA8" w:rsidRPr="00B5719A" w:rsidRDefault="002253CC" w:rsidP="002253CC">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Note for Information only</w:t>
                  </w:r>
                </w:p>
              </w:tc>
              <w:tc>
                <w:tcPr>
                  <w:tcW w:w="850" w:type="dxa"/>
                </w:tcPr>
                <w:p w:rsidR="005B4BA8" w:rsidRPr="00812CBD" w:rsidRDefault="005B4BA8" w:rsidP="00812CBD">
                  <w:pPr>
                    <w:spacing w:before="120" w:after="60"/>
                    <w:ind w:left="360"/>
                    <w:contextualSpacing/>
                    <w:rPr>
                      <w:rFonts w:ascii="Arial" w:hAnsi="Arial" w:cs="Arial"/>
                    </w:rPr>
                  </w:pPr>
                </w:p>
              </w:tc>
            </w:tr>
          </w:tbl>
          <w:p w:rsidR="005B4BA8" w:rsidRPr="00B5719A" w:rsidRDefault="005B4BA8" w:rsidP="005B4BA8">
            <w:pPr>
              <w:spacing w:before="120" w:after="60"/>
              <w:contextualSpacing/>
              <w:rPr>
                <w:rFonts w:ascii="Arial" w:hAnsi="Arial" w:cs="Arial"/>
              </w:rPr>
            </w:pPr>
          </w:p>
        </w:tc>
      </w:tr>
      <w:tr w:rsidR="005B4BA8" w:rsidRPr="00B5719A" w:rsidTr="005B4BA8">
        <w:trPr>
          <w:trHeight w:val="499"/>
        </w:trPr>
        <w:tc>
          <w:tcPr>
            <w:tcW w:w="2557" w:type="dxa"/>
            <w:tcBorders>
              <w:bottom w:val="single" w:sz="4" w:space="0" w:color="auto"/>
            </w:tcBorders>
          </w:tcPr>
          <w:p w:rsidR="005B4BA8" w:rsidRPr="00B5719A"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B5719A" w:rsidRDefault="005B4BA8" w:rsidP="005B4BA8">
            <w:pPr>
              <w:pStyle w:val="Heading1"/>
              <w:spacing w:before="120" w:after="60"/>
              <w:ind w:right="183"/>
              <w:contextualSpacing/>
              <w:rPr>
                <w:rFonts w:ascii="Arial" w:hAnsi="Arial" w:cs="Arial"/>
                <w:b w:val="0"/>
                <w:sz w:val="24"/>
                <w:szCs w:val="24"/>
              </w:rPr>
            </w:pPr>
          </w:p>
        </w:tc>
      </w:tr>
    </w:tbl>
    <w:p w:rsidR="00B5719A" w:rsidRPr="00B5719A" w:rsidRDefault="00B5719A" w:rsidP="00B5719A">
      <w:pPr>
        <w:ind w:left="-426" w:right="183"/>
        <w:rPr>
          <w:rFonts w:ascii="Arial" w:hAnsi="Arial" w:cs="Arial"/>
          <w:b/>
          <w:bCs/>
        </w:rPr>
      </w:pPr>
    </w:p>
    <w:p w:rsidR="00B0525B" w:rsidRDefault="00B0525B" w:rsidP="00812CBD">
      <w:pPr>
        <w:pStyle w:val="Heading2"/>
        <w:spacing w:before="0" w:after="0"/>
        <w:ind w:right="183"/>
        <w:rPr>
          <w:i w:val="0"/>
          <w:sz w:val="24"/>
          <w:szCs w:val="24"/>
        </w:rPr>
      </w:pPr>
      <w:r w:rsidRPr="001175E5">
        <w:rPr>
          <w:i w:val="0"/>
          <w:sz w:val="24"/>
          <w:szCs w:val="24"/>
        </w:rPr>
        <w:t>1</w:t>
      </w:r>
      <w:r w:rsidRPr="001175E5">
        <w:rPr>
          <w:i w:val="0"/>
          <w:sz w:val="24"/>
          <w:szCs w:val="24"/>
        </w:rPr>
        <w:tab/>
        <w:t>Background</w:t>
      </w:r>
    </w:p>
    <w:p w:rsidR="00812CBD" w:rsidRPr="00812CBD" w:rsidRDefault="00812CBD" w:rsidP="00812CBD"/>
    <w:p w:rsidR="00812CBD" w:rsidRDefault="00812CBD" w:rsidP="00812CBD">
      <w:pPr>
        <w:ind w:right="180"/>
        <w:rPr>
          <w:rFonts w:ascii="Arial" w:hAnsi="Arial" w:cs="Arial"/>
        </w:rPr>
      </w:pPr>
      <w:r w:rsidRPr="00B50C50">
        <w:rPr>
          <w:rFonts w:ascii="Arial" w:hAnsi="Arial" w:cs="Arial"/>
        </w:rPr>
        <w:t>Patient activity is reported on a monthly basis, both by month and year to d</w:t>
      </w:r>
      <w:r>
        <w:rPr>
          <w:rFonts w:ascii="Arial" w:hAnsi="Arial" w:cs="Arial"/>
        </w:rPr>
        <w:t>ate.  Data contained within the Performance P</w:t>
      </w:r>
      <w:r w:rsidRPr="00B50C50">
        <w:rPr>
          <w:rFonts w:ascii="Arial" w:hAnsi="Arial" w:cs="Arial"/>
        </w:rPr>
        <w:t xml:space="preserve">ack is primarily measured in episodes of care.  However, data is also captured to reflect the number of procedures being carried out by Board, by specialty.  This information is particularly relevant to referring Boards who are allocated activity and measure their activity/throughput at GJNH in numbers of procedures.  </w:t>
      </w:r>
    </w:p>
    <w:p w:rsidR="00812CBD" w:rsidRDefault="00812CBD" w:rsidP="00812CBD">
      <w:pPr>
        <w:ind w:right="180"/>
        <w:rPr>
          <w:rFonts w:ascii="Arial" w:hAnsi="Arial" w:cs="Arial"/>
        </w:rPr>
      </w:pPr>
    </w:p>
    <w:p w:rsidR="00812CBD" w:rsidRDefault="00812CBD" w:rsidP="00812CBD">
      <w:pPr>
        <w:ind w:right="180"/>
        <w:rPr>
          <w:rFonts w:ascii="Arial" w:hAnsi="Arial" w:cs="Arial"/>
        </w:rPr>
      </w:pPr>
      <w:r>
        <w:rPr>
          <w:rFonts w:ascii="Arial" w:hAnsi="Arial" w:cs="Arial"/>
        </w:rPr>
        <w:t>Appendix A to this document is provided for information purposes and reflects the number of patients treated against an annual plan of 16,589 (patients).</w:t>
      </w:r>
    </w:p>
    <w:p w:rsidR="00812CBD" w:rsidRDefault="00812CBD" w:rsidP="00812CBD">
      <w:pPr>
        <w:ind w:right="180"/>
        <w:rPr>
          <w:rFonts w:ascii="Arial" w:hAnsi="Arial" w:cs="Arial"/>
        </w:rPr>
      </w:pPr>
    </w:p>
    <w:p w:rsidR="00812CBD" w:rsidRDefault="00812CBD" w:rsidP="00812CBD">
      <w:pPr>
        <w:ind w:right="180"/>
        <w:rPr>
          <w:rFonts w:ascii="Arial" w:hAnsi="Arial" w:cs="Arial"/>
        </w:rPr>
      </w:pPr>
      <w:r>
        <w:rPr>
          <w:rFonts w:ascii="Arial" w:hAnsi="Arial" w:cs="Arial"/>
        </w:rPr>
        <w:t>Appendix B to this document is adjusted to represent theatre slots used (as opposed to numbers of patients) in both orthopaedic surgery and plastic surgery.  This allows us to more accurately reflect actual theatre utilisation and allows us to focus on maximising the theatre capacity that is available to us.</w:t>
      </w:r>
    </w:p>
    <w:p w:rsidR="00812CBD" w:rsidRDefault="00812CBD" w:rsidP="00812CBD">
      <w:pPr>
        <w:ind w:right="180"/>
        <w:rPr>
          <w:rFonts w:ascii="Arial" w:hAnsi="Arial" w:cs="Arial"/>
        </w:rPr>
      </w:pPr>
    </w:p>
    <w:p w:rsidR="00812CBD" w:rsidRDefault="00812CBD" w:rsidP="00812CBD">
      <w:pPr>
        <w:ind w:right="180"/>
        <w:rPr>
          <w:rFonts w:ascii="Arial" w:hAnsi="Arial" w:cs="Arial"/>
        </w:rPr>
      </w:pPr>
      <w:r>
        <w:rPr>
          <w:rFonts w:ascii="Arial" w:hAnsi="Arial" w:cs="Arial"/>
        </w:rPr>
        <w:t>This paper is intended to monitor and report on the national waiting times activity allocated to Boards across Scotland.  High level Regional Heart and Lung Centre activity is also provided for information purposes.  This activity is reported in more detail on the Divisional Performance and Planning Reports which are then summarised for presentation to the Board.</w:t>
      </w:r>
    </w:p>
    <w:p w:rsidR="00812CBD" w:rsidRDefault="00812CBD" w:rsidP="00812CBD">
      <w:pPr>
        <w:ind w:right="180"/>
        <w:rPr>
          <w:rFonts w:ascii="Arial" w:hAnsi="Arial" w:cs="Arial"/>
        </w:rPr>
      </w:pPr>
    </w:p>
    <w:p w:rsidR="00812CBD" w:rsidRDefault="00812CBD" w:rsidP="00812CBD">
      <w:pPr>
        <w:ind w:right="180"/>
        <w:rPr>
          <w:rFonts w:ascii="Arial" w:hAnsi="Arial" w:cs="Arial"/>
        </w:rPr>
      </w:pPr>
      <w:r>
        <w:rPr>
          <w:rFonts w:ascii="Arial" w:hAnsi="Arial" w:cs="Arial"/>
        </w:rPr>
        <w:t>Referring Boards receive a monthly monitoring document which provides a detailed breakdown of the number of patients referred, their complexity and the number of theatre slots used to treat them.</w:t>
      </w:r>
    </w:p>
    <w:p w:rsidR="00B0525B" w:rsidRPr="001175E5" w:rsidRDefault="00B0525B" w:rsidP="00812CBD">
      <w:pPr>
        <w:ind w:right="183"/>
        <w:rPr>
          <w:rFonts w:ascii="Arial" w:hAnsi="Arial" w:cs="Arial"/>
        </w:rPr>
      </w:pPr>
      <w:r w:rsidRPr="001175E5">
        <w:rPr>
          <w:rFonts w:ascii="Arial" w:hAnsi="Arial" w:cs="Arial"/>
          <w:b/>
          <w:bCs/>
        </w:rPr>
        <w:tab/>
      </w:r>
    </w:p>
    <w:p w:rsidR="00812CBD" w:rsidRDefault="00812CBD" w:rsidP="00812CBD">
      <w:pPr>
        <w:ind w:left="-360" w:firstLine="360"/>
        <w:rPr>
          <w:rFonts w:ascii="Arial" w:hAnsi="Arial" w:cs="Arial"/>
          <w:b/>
        </w:rPr>
      </w:pPr>
    </w:p>
    <w:p w:rsidR="00812CBD" w:rsidRDefault="00812CBD" w:rsidP="00812CBD">
      <w:pPr>
        <w:ind w:left="-360" w:firstLine="360"/>
        <w:rPr>
          <w:rFonts w:ascii="Arial" w:hAnsi="Arial" w:cs="Arial"/>
          <w:b/>
        </w:rPr>
      </w:pPr>
    </w:p>
    <w:p w:rsidR="00812CBD" w:rsidRDefault="00812CBD" w:rsidP="00812CBD">
      <w:pPr>
        <w:ind w:left="-360" w:firstLine="360"/>
        <w:rPr>
          <w:rFonts w:ascii="Arial" w:hAnsi="Arial" w:cs="Arial"/>
          <w:b/>
        </w:rPr>
      </w:pPr>
    </w:p>
    <w:p w:rsidR="00812CBD" w:rsidRDefault="00812CBD" w:rsidP="00812CBD">
      <w:pPr>
        <w:ind w:left="-360" w:firstLine="360"/>
        <w:rPr>
          <w:rFonts w:ascii="Arial" w:hAnsi="Arial" w:cs="Arial"/>
          <w:b/>
        </w:rPr>
      </w:pPr>
    </w:p>
    <w:p w:rsidR="00812CBD" w:rsidRDefault="00812CBD" w:rsidP="00812CBD">
      <w:pPr>
        <w:ind w:left="-360" w:firstLine="360"/>
        <w:rPr>
          <w:rFonts w:ascii="Arial" w:hAnsi="Arial" w:cs="Arial"/>
          <w:b/>
        </w:rPr>
      </w:pPr>
    </w:p>
    <w:p w:rsidR="0074139D" w:rsidRPr="00B50C50" w:rsidRDefault="0074139D" w:rsidP="00812CBD">
      <w:pPr>
        <w:ind w:left="-360" w:firstLine="360"/>
        <w:rPr>
          <w:rFonts w:ascii="Arial" w:hAnsi="Arial" w:cs="Arial"/>
          <w:b/>
        </w:rPr>
      </w:pPr>
      <w:r>
        <w:rPr>
          <w:rFonts w:ascii="Arial" w:hAnsi="Arial" w:cs="Arial"/>
          <w:b/>
        </w:rPr>
        <w:lastRenderedPageBreak/>
        <w:t>2</w:t>
      </w:r>
      <w:r>
        <w:rPr>
          <w:rFonts w:ascii="Arial" w:hAnsi="Arial" w:cs="Arial"/>
          <w:b/>
        </w:rPr>
        <w:tab/>
      </w:r>
      <w:r w:rsidRPr="00B50C50">
        <w:rPr>
          <w:rFonts w:ascii="Arial" w:hAnsi="Arial" w:cs="Arial"/>
          <w:b/>
        </w:rPr>
        <w:t>Operational Governance</w:t>
      </w:r>
    </w:p>
    <w:p w:rsidR="0074139D" w:rsidRDefault="0074139D" w:rsidP="00812CBD">
      <w:pPr>
        <w:ind w:left="-360"/>
        <w:rPr>
          <w:rFonts w:ascii="Arial" w:hAnsi="Arial" w:cs="Arial"/>
        </w:rPr>
      </w:pPr>
    </w:p>
    <w:p w:rsidR="00812CBD" w:rsidRDefault="00812CBD" w:rsidP="00812CBD">
      <w:pPr>
        <w:rPr>
          <w:rFonts w:ascii="Arial" w:hAnsi="Arial" w:cs="Arial"/>
          <w:b/>
        </w:rPr>
      </w:pPr>
      <w:r w:rsidRPr="00B50C50">
        <w:rPr>
          <w:rFonts w:ascii="Arial" w:hAnsi="Arial" w:cs="Arial"/>
          <w:b/>
        </w:rPr>
        <w:t>In Patient/Day Case</w:t>
      </w:r>
      <w:r>
        <w:rPr>
          <w:rFonts w:ascii="Arial" w:hAnsi="Arial" w:cs="Arial"/>
          <w:b/>
        </w:rPr>
        <w:t>/Diagnostic Imaging</w:t>
      </w:r>
      <w:r w:rsidRPr="00B50C50">
        <w:rPr>
          <w:rFonts w:ascii="Arial" w:hAnsi="Arial" w:cs="Arial"/>
          <w:b/>
        </w:rPr>
        <w:t xml:space="preserve"> Activity Analysis </w:t>
      </w:r>
      <w:r>
        <w:rPr>
          <w:rFonts w:ascii="Arial" w:hAnsi="Arial" w:cs="Arial"/>
          <w:b/>
        </w:rPr>
        <w:t>March 2019</w:t>
      </w:r>
    </w:p>
    <w:p w:rsidR="00812CBD" w:rsidRDefault="00812CBD" w:rsidP="00812CBD">
      <w:pPr>
        <w:ind w:left="-360" w:firstLine="360"/>
        <w:rPr>
          <w:rFonts w:ascii="Arial" w:hAnsi="Arial" w:cs="Arial"/>
          <w:b/>
        </w:rPr>
      </w:pPr>
    </w:p>
    <w:p w:rsidR="00812CBD" w:rsidRDefault="00812CBD" w:rsidP="00812CBD">
      <w:pPr>
        <w:rPr>
          <w:rFonts w:ascii="Arial" w:hAnsi="Arial" w:cs="Arial"/>
        </w:rPr>
      </w:pPr>
      <w:r>
        <w:rPr>
          <w:rFonts w:ascii="Arial" w:hAnsi="Arial" w:cs="Arial"/>
        </w:rPr>
        <w:t xml:space="preserve">Activity for in patients/day case procedures measured against a projection of 16,589 (which excludes cardiothoracic/cardiology activity) was ahead of plan by 10.6% for the month of March when activity is adjusted to reflect complexity (Appendix B) and 4.8% ahead of the year to date plan. </w:t>
      </w:r>
    </w:p>
    <w:p w:rsidR="00812CBD" w:rsidRDefault="00812CBD" w:rsidP="00812CBD">
      <w:pPr>
        <w:rPr>
          <w:rFonts w:ascii="Arial" w:hAnsi="Arial" w:cs="Arial"/>
        </w:rPr>
      </w:pPr>
    </w:p>
    <w:p w:rsidR="00812CBD" w:rsidRDefault="00812CBD" w:rsidP="00812CBD">
      <w:pPr>
        <w:rPr>
          <w:rFonts w:ascii="Arial" w:hAnsi="Arial" w:cs="Arial"/>
        </w:rPr>
      </w:pPr>
      <w:r w:rsidRPr="005D1E9E">
        <w:rPr>
          <w:rFonts w:ascii="Arial" w:hAnsi="Arial" w:cs="Arial"/>
        </w:rPr>
        <w:t xml:space="preserve">Measured against </w:t>
      </w:r>
      <w:r>
        <w:rPr>
          <w:rFonts w:ascii="Arial" w:hAnsi="Arial" w:cs="Arial"/>
        </w:rPr>
        <w:t xml:space="preserve">a total activity projection of 48,419, the </w:t>
      </w:r>
      <w:r w:rsidRPr="005D1E9E">
        <w:rPr>
          <w:rFonts w:ascii="Arial" w:hAnsi="Arial" w:cs="Arial"/>
        </w:rPr>
        <w:t xml:space="preserve">combined </w:t>
      </w:r>
      <w:r>
        <w:rPr>
          <w:rFonts w:ascii="Arial" w:hAnsi="Arial" w:cs="Arial"/>
        </w:rPr>
        <w:t>in</w:t>
      </w:r>
      <w:r w:rsidRPr="005D1E9E">
        <w:rPr>
          <w:rFonts w:ascii="Arial" w:hAnsi="Arial" w:cs="Arial"/>
        </w:rPr>
        <w:t xml:space="preserve">patient/day </w:t>
      </w:r>
    </w:p>
    <w:p w:rsidR="00812CBD" w:rsidRDefault="00812CBD" w:rsidP="00812CBD">
      <w:pPr>
        <w:rPr>
          <w:rFonts w:ascii="Arial" w:hAnsi="Arial" w:cs="Arial"/>
        </w:rPr>
      </w:pPr>
      <w:proofErr w:type="gramStart"/>
      <w:r w:rsidRPr="005D1E9E">
        <w:rPr>
          <w:rFonts w:ascii="Arial" w:hAnsi="Arial" w:cs="Arial"/>
        </w:rPr>
        <w:t>case</w:t>
      </w:r>
      <w:proofErr w:type="gramEnd"/>
      <w:r w:rsidRPr="005D1E9E">
        <w:rPr>
          <w:rFonts w:ascii="Arial" w:hAnsi="Arial" w:cs="Arial"/>
        </w:rPr>
        <w:t xml:space="preserve"> and imaging activity at </w:t>
      </w:r>
      <w:r>
        <w:rPr>
          <w:rFonts w:ascii="Arial" w:hAnsi="Arial" w:cs="Arial"/>
        </w:rPr>
        <w:t>the end of March</w:t>
      </w:r>
      <w:r w:rsidRPr="005D1E9E">
        <w:rPr>
          <w:rFonts w:ascii="Arial" w:hAnsi="Arial" w:cs="Arial"/>
        </w:rPr>
        <w:t xml:space="preserve"> </w:t>
      </w:r>
      <w:r w:rsidRPr="00D57FC8">
        <w:rPr>
          <w:rFonts w:ascii="Arial" w:hAnsi="Arial" w:cs="Arial"/>
        </w:rPr>
        <w:t>was</w:t>
      </w:r>
      <w:r>
        <w:rPr>
          <w:rFonts w:ascii="Arial" w:hAnsi="Arial" w:cs="Arial"/>
        </w:rPr>
        <w:t xml:space="preserve"> </w:t>
      </w:r>
      <w:r w:rsidRPr="00B355CC">
        <w:rPr>
          <w:rFonts w:ascii="Arial" w:hAnsi="Arial" w:cs="Arial"/>
        </w:rPr>
        <w:t>ahead of plan</w:t>
      </w:r>
      <w:r>
        <w:rPr>
          <w:rFonts w:ascii="Arial" w:hAnsi="Arial" w:cs="Arial"/>
        </w:rPr>
        <w:t xml:space="preserve"> by 6.1</w:t>
      </w:r>
      <w:r w:rsidRPr="00B355CC">
        <w:rPr>
          <w:rFonts w:ascii="Arial" w:hAnsi="Arial" w:cs="Arial"/>
        </w:rPr>
        <w:t xml:space="preserve">% for the month of </w:t>
      </w:r>
      <w:r>
        <w:rPr>
          <w:rFonts w:ascii="Arial" w:hAnsi="Arial" w:cs="Arial"/>
        </w:rPr>
        <w:t>March w</w:t>
      </w:r>
      <w:r w:rsidRPr="005D1E9E">
        <w:rPr>
          <w:rFonts w:ascii="Arial" w:hAnsi="Arial" w:cs="Arial"/>
        </w:rPr>
        <w:t>hen adjusted to reflect complexity (Appendix B</w:t>
      </w:r>
      <w:r>
        <w:rPr>
          <w:rFonts w:ascii="Arial" w:hAnsi="Arial" w:cs="Arial"/>
        </w:rPr>
        <w:t>) and 6.8</w:t>
      </w:r>
      <w:r w:rsidRPr="00B355CC">
        <w:rPr>
          <w:rFonts w:ascii="Arial" w:hAnsi="Arial" w:cs="Arial"/>
        </w:rPr>
        <w:t>% ahead of the year to date plan.</w:t>
      </w:r>
    </w:p>
    <w:p w:rsidR="0074139D" w:rsidRDefault="0074139D" w:rsidP="00812CBD">
      <w:pPr>
        <w:ind w:left="360" w:firstLine="360"/>
        <w:rPr>
          <w:rFonts w:ascii="Arial" w:hAnsi="Arial" w:cs="Arial"/>
          <w:b/>
        </w:rPr>
      </w:pPr>
    </w:p>
    <w:p w:rsidR="00812CBD" w:rsidRPr="008A7AAB" w:rsidRDefault="00812CBD" w:rsidP="00812CBD">
      <w:pPr>
        <w:rPr>
          <w:rFonts w:ascii="Arial" w:hAnsi="Arial" w:cs="Arial"/>
          <w:b/>
        </w:rPr>
      </w:pPr>
      <w:r>
        <w:rPr>
          <w:rFonts w:ascii="Arial" w:hAnsi="Arial" w:cs="Arial"/>
          <w:b/>
        </w:rPr>
        <w:t xml:space="preserve">3.  </w:t>
      </w:r>
      <w:r w:rsidRPr="008A7AAB">
        <w:rPr>
          <w:rFonts w:ascii="Arial" w:hAnsi="Arial" w:cs="Arial"/>
          <w:b/>
        </w:rPr>
        <w:t xml:space="preserve">Analysis of Performance </w:t>
      </w:r>
      <w:proofErr w:type="gramStart"/>
      <w:r w:rsidRPr="008A7AAB">
        <w:rPr>
          <w:rFonts w:ascii="Arial" w:hAnsi="Arial" w:cs="Arial"/>
          <w:b/>
        </w:rPr>
        <w:t>Against</w:t>
      </w:r>
      <w:proofErr w:type="gramEnd"/>
      <w:r w:rsidRPr="008A7AAB">
        <w:rPr>
          <w:rFonts w:ascii="Arial" w:hAnsi="Arial" w:cs="Arial"/>
          <w:b/>
        </w:rPr>
        <w:t xml:space="preserve"> Plan at End </w:t>
      </w:r>
      <w:r>
        <w:rPr>
          <w:rFonts w:ascii="Arial" w:hAnsi="Arial" w:cs="Arial"/>
          <w:b/>
        </w:rPr>
        <w:t>March 2019</w:t>
      </w:r>
    </w:p>
    <w:p w:rsidR="00812CBD" w:rsidRDefault="00812CBD" w:rsidP="00812CBD">
      <w:pPr>
        <w:pStyle w:val="BodyTextIndent3"/>
        <w:spacing w:after="0"/>
        <w:ind w:left="0" w:right="-360"/>
        <w:rPr>
          <w:rFonts w:ascii="Arial" w:hAnsi="Arial" w:cs="Arial"/>
          <w:sz w:val="24"/>
        </w:rPr>
      </w:pPr>
    </w:p>
    <w:p w:rsidR="00812CBD" w:rsidRDefault="00812CBD" w:rsidP="00812CBD">
      <w:pPr>
        <w:pStyle w:val="BodyTextIndent3"/>
        <w:spacing w:after="0"/>
        <w:ind w:left="0" w:right="-360"/>
        <w:rPr>
          <w:rFonts w:ascii="Arial" w:hAnsi="Arial" w:cs="Arial"/>
          <w:b/>
          <w:sz w:val="24"/>
        </w:rPr>
      </w:pPr>
      <w:r>
        <w:rPr>
          <w:rFonts w:ascii="Arial" w:hAnsi="Arial" w:cs="Arial"/>
          <w:b/>
          <w:sz w:val="24"/>
        </w:rPr>
        <w:t xml:space="preserve">3.1 </w:t>
      </w:r>
      <w:r w:rsidRPr="000B7F9B">
        <w:rPr>
          <w:rFonts w:ascii="Arial" w:hAnsi="Arial" w:cs="Arial"/>
          <w:b/>
          <w:sz w:val="24"/>
        </w:rPr>
        <w:t>Orthopaedic Surgery:</w:t>
      </w:r>
    </w:p>
    <w:p w:rsidR="00812CBD" w:rsidRPr="000B7F9B" w:rsidRDefault="00812CBD" w:rsidP="00812CBD">
      <w:pPr>
        <w:pStyle w:val="BodyTextIndent3"/>
        <w:spacing w:after="0"/>
        <w:ind w:left="0" w:right="-360"/>
        <w:rPr>
          <w:rFonts w:ascii="Arial" w:hAnsi="Arial" w:cs="Arial"/>
          <w:b/>
          <w:sz w:val="24"/>
        </w:rPr>
      </w:pPr>
    </w:p>
    <w:p w:rsidR="00812CBD" w:rsidRDefault="00812CBD" w:rsidP="00812CBD">
      <w:pPr>
        <w:pStyle w:val="BodyTextIndent3"/>
        <w:spacing w:after="0"/>
        <w:ind w:left="0"/>
        <w:rPr>
          <w:rFonts w:ascii="Arial" w:hAnsi="Arial" w:cs="Arial"/>
          <w:sz w:val="24"/>
        </w:rPr>
      </w:pPr>
      <w:r w:rsidRPr="009D7B6C">
        <w:rPr>
          <w:rFonts w:ascii="Arial" w:hAnsi="Arial" w:cs="Arial"/>
          <w:sz w:val="24"/>
        </w:rPr>
        <w:t xml:space="preserve">The annual target for orthopaedic joint replacements </w:t>
      </w:r>
      <w:r>
        <w:rPr>
          <w:rFonts w:ascii="Arial" w:hAnsi="Arial" w:cs="Arial"/>
          <w:sz w:val="24"/>
        </w:rPr>
        <w:t>for 2018/19 is based on 3,803 primary joint replacements</w:t>
      </w:r>
      <w:r w:rsidRPr="009D7B6C">
        <w:rPr>
          <w:rFonts w:ascii="Arial" w:hAnsi="Arial" w:cs="Arial"/>
          <w:sz w:val="24"/>
        </w:rPr>
        <w:t xml:space="preserve">.  This number is calculated on the basis of one patient to one theatre slot.  Each session equals two </w:t>
      </w:r>
      <w:r>
        <w:rPr>
          <w:rFonts w:ascii="Arial" w:hAnsi="Arial" w:cs="Arial"/>
          <w:sz w:val="24"/>
        </w:rPr>
        <w:t xml:space="preserve">primary joint </w:t>
      </w:r>
      <w:r w:rsidRPr="009D7B6C">
        <w:rPr>
          <w:rFonts w:ascii="Arial" w:hAnsi="Arial" w:cs="Arial"/>
          <w:sz w:val="24"/>
        </w:rPr>
        <w:t>theatre slots.</w:t>
      </w:r>
      <w:r>
        <w:rPr>
          <w:rFonts w:ascii="Arial" w:hAnsi="Arial" w:cs="Arial"/>
          <w:sz w:val="24"/>
        </w:rPr>
        <w:t xml:space="preserve">  However, based on experience over the recent years, we have made the assumption that t</w:t>
      </w:r>
      <w:r w:rsidRPr="003821FC">
        <w:rPr>
          <w:rFonts w:ascii="Arial" w:hAnsi="Arial" w:cs="Arial"/>
          <w:sz w:val="24"/>
        </w:rPr>
        <w:t xml:space="preserve">he number of complex joint replacements </w:t>
      </w:r>
      <w:r>
        <w:rPr>
          <w:rFonts w:ascii="Arial" w:hAnsi="Arial" w:cs="Arial"/>
          <w:sz w:val="24"/>
        </w:rPr>
        <w:t xml:space="preserve">likely to be referred </w:t>
      </w:r>
      <w:r w:rsidRPr="003821FC">
        <w:rPr>
          <w:rFonts w:ascii="Arial" w:hAnsi="Arial" w:cs="Arial"/>
          <w:sz w:val="24"/>
        </w:rPr>
        <w:t>for treatment</w:t>
      </w:r>
      <w:r>
        <w:rPr>
          <w:rFonts w:ascii="Arial" w:hAnsi="Arial" w:cs="Arial"/>
          <w:sz w:val="24"/>
        </w:rPr>
        <w:t xml:space="preserve"> would be approximately 9</w:t>
      </w:r>
      <w:r w:rsidRPr="003821FC">
        <w:rPr>
          <w:rFonts w:ascii="Arial" w:hAnsi="Arial" w:cs="Arial"/>
          <w:sz w:val="24"/>
        </w:rPr>
        <w:t>%</w:t>
      </w:r>
      <w:r>
        <w:rPr>
          <w:rFonts w:ascii="Arial" w:hAnsi="Arial" w:cs="Arial"/>
          <w:sz w:val="24"/>
        </w:rPr>
        <w:t xml:space="preserve">.  </w:t>
      </w:r>
      <w:r w:rsidRPr="003821FC">
        <w:rPr>
          <w:rFonts w:ascii="Arial" w:hAnsi="Arial" w:cs="Arial"/>
          <w:sz w:val="24"/>
        </w:rPr>
        <w:t>These procedures typically take the equivalent theatre space of 1.5 - 2 primary joint replacements.</w:t>
      </w:r>
      <w:r>
        <w:rPr>
          <w:rFonts w:ascii="Arial" w:hAnsi="Arial" w:cs="Arial"/>
          <w:sz w:val="24"/>
        </w:rPr>
        <w:t xml:space="preserve">  </w:t>
      </w:r>
    </w:p>
    <w:p w:rsidR="00812CBD" w:rsidRDefault="00812CBD" w:rsidP="00812CBD">
      <w:pPr>
        <w:pStyle w:val="BodyTextIndent3"/>
        <w:spacing w:after="0"/>
        <w:ind w:left="0"/>
        <w:rPr>
          <w:rFonts w:ascii="Arial" w:hAnsi="Arial" w:cs="Arial"/>
          <w:sz w:val="24"/>
        </w:rPr>
      </w:pPr>
    </w:p>
    <w:p w:rsidR="00812CBD" w:rsidRDefault="00812CBD" w:rsidP="00812CBD">
      <w:pPr>
        <w:pStyle w:val="BodyTextIndent3"/>
        <w:spacing w:after="0"/>
        <w:ind w:left="0"/>
        <w:rPr>
          <w:rFonts w:ascii="Arial" w:hAnsi="Arial" w:cs="Arial"/>
          <w:sz w:val="24"/>
        </w:rPr>
      </w:pPr>
      <w:r>
        <w:rPr>
          <w:rFonts w:ascii="Arial" w:hAnsi="Arial" w:cs="Arial"/>
          <w:sz w:val="24"/>
        </w:rPr>
        <w:t xml:space="preserve">In addition to the 3,803 primary joint replacements, there </w:t>
      </w:r>
      <w:proofErr w:type="gramStart"/>
      <w:r>
        <w:rPr>
          <w:rFonts w:ascii="Arial" w:hAnsi="Arial" w:cs="Arial"/>
          <w:sz w:val="24"/>
        </w:rPr>
        <w:t>is</w:t>
      </w:r>
      <w:proofErr w:type="gramEnd"/>
      <w:r>
        <w:rPr>
          <w:rFonts w:ascii="Arial" w:hAnsi="Arial" w:cs="Arial"/>
          <w:sz w:val="24"/>
        </w:rPr>
        <w:t xml:space="preserve"> a target number of 681 orthopaedic non joint procedures and 550 foot and ankle procedures for the year.  This equates to a total of 5034 orthopaedic theatre slots per annum (as documented in Appendix B).</w:t>
      </w:r>
    </w:p>
    <w:p w:rsidR="00812CBD" w:rsidRDefault="00812CBD" w:rsidP="00812CBD">
      <w:pPr>
        <w:pStyle w:val="BodyTextIndent3"/>
        <w:spacing w:after="0"/>
        <w:ind w:left="0"/>
        <w:rPr>
          <w:rFonts w:ascii="Arial" w:hAnsi="Arial" w:cs="Arial"/>
          <w:sz w:val="24"/>
        </w:rPr>
      </w:pPr>
    </w:p>
    <w:p w:rsidR="00812CBD" w:rsidRDefault="00812CBD" w:rsidP="00812CBD">
      <w:pPr>
        <w:pStyle w:val="BodyTextIndent3"/>
        <w:spacing w:after="0"/>
        <w:ind w:left="0"/>
        <w:rPr>
          <w:rFonts w:ascii="Arial" w:hAnsi="Arial" w:cs="Arial"/>
          <w:sz w:val="24"/>
        </w:rPr>
      </w:pPr>
      <w:r>
        <w:rPr>
          <w:rFonts w:ascii="Arial" w:hAnsi="Arial" w:cs="Arial"/>
          <w:sz w:val="24"/>
        </w:rPr>
        <w:t>At the end of March, orthopaedic joint activity was ahead of plan for the month of March by 13 joint replacements, 21 foot and ankle procedures and 15 ‘non joint’ procedures.  The year to date plan has been exceeded by 233 primary joint replacements, 75 foot and ankle procedures and 97 ‘non joint’ procedures (which consists of intermediate/minor procedures such as ACL repair, arthroscopy etc).  Overall, orthopaedic surgery was 449 procedures/theatre slots ahead of the full year plan.</w:t>
      </w:r>
    </w:p>
    <w:p w:rsidR="0074139D" w:rsidRDefault="0074139D" w:rsidP="00812CBD">
      <w:pPr>
        <w:rPr>
          <w:rFonts w:ascii="Arial" w:hAnsi="Arial" w:cs="Arial"/>
        </w:rPr>
      </w:pPr>
    </w:p>
    <w:p w:rsidR="0074139D" w:rsidRPr="00FD6400" w:rsidRDefault="0074139D" w:rsidP="00812CBD">
      <w:pPr>
        <w:pStyle w:val="BodyTextIndent3"/>
        <w:spacing w:after="0"/>
        <w:ind w:left="0"/>
        <w:rPr>
          <w:rFonts w:ascii="Arial" w:hAnsi="Arial" w:cs="Arial"/>
          <w:b/>
          <w:sz w:val="24"/>
        </w:rPr>
      </w:pPr>
      <w:r>
        <w:rPr>
          <w:rFonts w:ascii="Arial" w:hAnsi="Arial" w:cs="Arial"/>
          <w:b/>
          <w:sz w:val="24"/>
        </w:rPr>
        <w:t>3.2</w:t>
      </w:r>
      <w:r>
        <w:rPr>
          <w:rFonts w:ascii="Arial" w:hAnsi="Arial" w:cs="Arial"/>
          <w:b/>
          <w:sz w:val="24"/>
        </w:rPr>
        <w:tab/>
      </w:r>
      <w:r w:rsidRPr="00FD6400">
        <w:rPr>
          <w:rFonts w:ascii="Arial" w:hAnsi="Arial" w:cs="Arial"/>
          <w:b/>
          <w:sz w:val="24"/>
        </w:rPr>
        <w:t>Ophthalmic Surgery</w:t>
      </w:r>
    </w:p>
    <w:p w:rsidR="00812CBD" w:rsidRDefault="00812CBD" w:rsidP="00812CBD">
      <w:pPr>
        <w:pStyle w:val="BodyTextIndent3"/>
        <w:spacing w:after="0"/>
        <w:ind w:left="0"/>
        <w:rPr>
          <w:rFonts w:ascii="Arial" w:hAnsi="Arial" w:cs="Arial"/>
          <w:sz w:val="24"/>
        </w:rPr>
      </w:pPr>
    </w:p>
    <w:p w:rsidR="00812CBD" w:rsidRDefault="00812CBD" w:rsidP="00812CBD">
      <w:pPr>
        <w:pStyle w:val="BodyTextIndent3"/>
        <w:spacing w:after="0"/>
        <w:ind w:left="0"/>
        <w:rPr>
          <w:rFonts w:ascii="Arial" w:hAnsi="Arial" w:cs="Arial"/>
          <w:sz w:val="24"/>
        </w:rPr>
      </w:pPr>
      <w:r>
        <w:rPr>
          <w:rFonts w:ascii="Arial" w:hAnsi="Arial" w:cs="Arial"/>
          <w:sz w:val="24"/>
        </w:rPr>
        <w:t xml:space="preserve">Ophthalmology activity was slightly behind the monthly plan by 7 procedures for the month of March and 137 procedures behind the full year plan. </w:t>
      </w:r>
    </w:p>
    <w:p w:rsidR="00812CBD" w:rsidRDefault="00812CBD" w:rsidP="00812CBD">
      <w:pPr>
        <w:pStyle w:val="BodyTextIndent3"/>
        <w:spacing w:after="0"/>
        <w:ind w:left="0"/>
        <w:rPr>
          <w:rFonts w:ascii="Arial" w:hAnsi="Arial" w:cs="Arial"/>
          <w:b/>
          <w:sz w:val="24"/>
        </w:rPr>
      </w:pPr>
    </w:p>
    <w:p w:rsidR="0074139D" w:rsidRDefault="0074139D" w:rsidP="00812CBD">
      <w:pPr>
        <w:pStyle w:val="BodyTextIndent3"/>
        <w:spacing w:after="0"/>
        <w:ind w:left="0"/>
        <w:rPr>
          <w:rFonts w:ascii="Arial" w:hAnsi="Arial" w:cs="Arial"/>
          <w:b/>
          <w:sz w:val="24"/>
        </w:rPr>
      </w:pPr>
      <w:r>
        <w:rPr>
          <w:rFonts w:ascii="Arial" w:hAnsi="Arial" w:cs="Arial"/>
          <w:b/>
          <w:sz w:val="24"/>
        </w:rPr>
        <w:t>3.3</w:t>
      </w:r>
      <w:r>
        <w:rPr>
          <w:rFonts w:ascii="Arial" w:hAnsi="Arial" w:cs="Arial"/>
          <w:b/>
          <w:sz w:val="24"/>
        </w:rPr>
        <w:tab/>
        <w:t>General Surgery</w:t>
      </w:r>
    </w:p>
    <w:p w:rsidR="00812CBD" w:rsidRDefault="00812CBD" w:rsidP="00812CBD">
      <w:pPr>
        <w:pStyle w:val="BodyTextIndent3"/>
        <w:spacing w:after="0"/>
        <w:ind w:left="0"/>
        <w:rPr>
          <w:rFonts w:ascii="Arial" w:hAnsi="Arial" w:cs="Arial"/>
          <w:sz w:val="24"/>
        </w:rPr>
      </w:pPr>
    </w:p>
    <w:p w:rsidR="00812CBD" w:rsidRDefault="00812CBD" w:rsidP="00812CBD">
      <w:pPr>
        <w:pStyle w:val="BodyTextIndent3"/>
        <w:spacing w:after="0"/>
        <w:ind w:left="0"/>
        <w:rPr>
          <w:rFonts w:ascii="Arial" w:hAnsi="Arial" w:cs="Arial"/>
          <w:sz w:val="24"/>
        </w:rPr>
      </w:pPr>
      <w:r>
        <w:rPr>
          <w:rFonts w:ascii="Arial" w:hAnsi="Arial" w:cs="Arial"/>
          <w:sz w:val="24"/>
        </w:rPr>
        <w:t xml:space="preserve">General surgery performed ahead of the monthly plan in March by 14 procedures and was slightly behind the full year plan by 2 procedures. </w:t>
      </w:r>
    </w:p>
    <w:p w:rsidR="0074139D" w:rsidRDefault="0074139D" w:rsidP="00812CBD">
      <w:pPr>
        <w:pStyle w:val="BodyTextIndent3"/>
        <w:spacing w:after="0"/>
        <w:ind w:left="0"/>
        <w:rPr>
          <w:rFonts w:ascii="Arial" w:hAnsi="Arial" w:cs="Arial"/>
          <w:b/>
          <w:sz w:val="24"/>
        </w:rPr>
      </w:pPr>
    </w:p>
    <w:p w:rsidR="00812CBD" w:rsidRDefault="00812CBD" w:rsidP="00812CBD">
      <w:pPr>
        <w:pStyle w:val="BodyTextIndent3"/>
        <w:spacing w:after="0"/>
        <w:ind w:left="0"/>
        <w:rPr>
          <w:rFonts w:ascii="Arial" w:hAnsi="Arial" w:cs="Arial"/>
          <w:b/>
          <w:sz w:val="24"/>
        </w:rPr>
      </w:pPr>
    </w:p>
    <w:p w:rsidR="0074139D" w:rsidRDefault="0074139D" w:rsidP="00812CBD">
      <w:pPr>
        <w:pStyle w:val="BodyTextIndent3"/>
        <w:spacing w:after="0"/>
        <w:ind w:left="0"/>
        <w:rPr>
          <w:rFonts w:ascii="Arial" w:hAnsi="Arial" w:cs="Arial"/>
          <w:b/>
          <w:sz w:val="24"/>
        </w:rPr>
      </w:pPr>
      <w:r>
        <w:rPr>
          <w:rFonts w:ascii="Arial" w:hAnsi="Arial" w:cs="Arial"/>
          <w:b/>
          <w:sz w:val="24"/>
        </w:rPr>
        <w:lastRenderedPageBreak/>
        <w:t>3.4</w:t>
      </w:r>
      <w:r>
        <w:rPr>
          <w:rFonts w:ascii="Arial" w:hAnsi="Arial" w:cs="Arial"/>
          <w:b/>
          <w:sz w:val="24"/>
        </w:rPr>
        <w:tab/>
        <w:t>Plastic Surgery</w:t>
      </w:r>
    </w:p>
    <w:p w:rsidR="00812CBD" w:rsidRDefault="00812CBD" w:rsidP="00812CBD">
      <w:pPr>
        <w:pStyle w:val="BodyTextIndent3"/>
        <w:spacing w:after="0"/>
        <w:ind w:left="0"/>
        <w:rPr>
          <w:rFonts w:ascii="Arial" w:hAnsi="Arial" w:cs="Arial"/>
          <w:sz w:val="24"/>
        </w:rPr>
      </w:pPr>
    </w:p>
    <w:p w:rsidR="00812CBD" w:rsidRDefault="00812CBD" w:rsidP="00812CBD">
      <w:pPr>
        <w:pStyle w:val="BodyTextIndent3"/>
        <w:spacing w:after="0"/>
        <w:ind w:left="0"/>
        <w:rPr>
          <w:rFonts w:ascii="Arial" w:hAnsi="Arial" w:cs="Arial"/>
          <w:sz w:val="24"/>
        </w:rPr>
      </w:pPr>
      <w:r>
        <w:rPr>
          <w:rFonts w:ascii="Arial" w:hAnsi="Arial" w:cs="Arial"/>
          <w:sz w:val="24"/>
        </w:rPr>
        <w:t xml:space="preserve">For reporting purposes Plastic Surgery has been split and will be monitored throughout 2018/19 as hand surgery and minor plastic surgery.  Major plastic surgery is no longer carried out at GJNH. </w:t>
      </w:r>
    </w:p>
    <w:p w:rsidR="00812CBD" w:rsidRDefault="00812CBD" w:rsidP="00812CBD">
      <w:pPr>
        <w:pStyle w:val="BodyTextIndent3"/>
        <w:spacing w:after="0"/>
        <w:ind w:left="0"/>
        <w:rPr>
          <w:rFonts w:ascii="Arial" w:hAnsi="Arial" w:cs="Arial"/>
          <w:sz w:val="24"/>
        </w:rPr>
      </w:pPr>
    </w:p>
    <w:p w:rsidR="00812CBD" w:rsidRDefault="00812CBD" w:rsidP="00812CBD">
      <w:pPr>
        <w:pStyle w:val="BodyTextIndent3"/>
        <w:spacing w:after="0"/>
        <w:ind w:left="0"/>
        <w:rPr>
          <w:rFonts w:ascii="Arial" w:hAnsi="Arial" w:cs="Arial"/>
          <w:sz w:val="24"/>
        </w:rPr>
      </w:pPr>
      <w:r>
        <w:rPr>
          <w:rFonts w:ascii="Arial" w:hAnsi="Arial" w:cs="Arial"/>
          <w:sz w:val="24"/>
        </w:rPr>
        <w:t xml:space="preserve">Hand surgery was behind plan for the month of March by 40 procedures.  Minor plastic surgery was 17 procedures behind the full year plan. </w:t>
      </w:r>
    </w:p>
    <w:p w:rsidR="0074139D" w:rsidRDefault="0074139D" w:rsidP="00812CBD">
      <w:pPr>
        <w:pStyle w:val="BodyTextIndent3"/>
        <w:spacing w:after="0"/>
        <w:ind w:left="0"/>
        <w:rPr>
          <w:rFonts w:ascii="Arial" w:hAnsi="Arial" w:cs="Arial"/>
          <w:sz w:val="24"/>
        </w:rPr>
      </w:pPr>
    </w:p>
    <w:p w:rsidR="0074139D" w:rsidRDefault="0074139D" w:rsidP="00812CBD">
      <w:pPr>
        <w:pStyle w:val="BodyTextIndent3"/>
        <w:spacing w:after="0"/>
        <w:ind w:left="0"/>
        <w:rPr>
          <w:rFonts w:ascii="Arial" w:hAnsi="Arial" w:cs="Arial"/>
          <w:b/>
          <w:sz w:val="24"/>
        </w:rPr>
      </w:pPr>
      <w:r>
        <w:rPr>
          <w:rFonts w:ascii="Arial" w:hAnsi="Arial" w:cs="Arial"/>
          <w:b/>
          <w:sz w:val="24"/>
        </w:rPr>
        <w:t>3.5</w:t>
      </w:r>
      <w:r>
        <w:rPr>
          <w:rFonts w:ascii="Arial" w:hAnsi="Arial" w:cs="Arial"/>
          <w:b/>
          <w:sz w:val="24"/>
        </w:rPr>
        <w:tab/>
        <w:t>Endoscopy</w:t>
      </w:r>
    </w:p>
    <w:p w:rsidR="00812CBD" w:rsidRDefault="00812CBD" w:rsidP="00812CBD">
      <w:pPr>
        <w:pStyle w:val="BodyTextIndent3"/>
        <w:spacing w:after="0"/>
        <w:ind w:left="0"/>
        <w:rPr>
          <w:rFonts w:ascii="Arial" w:hAnsi="Arial" w:cs="Arial"/>
          <w:sz w:val="24"/>
        </w:rPr>
      </w:pPr>
    </w:p>
    <w:p w:rsidR="00812CBD" w:rsidRPr="00447210" w:rsidRDefault="00812CBD" w:rsidP="00812CBD">
      <w:pPr>
        <w:pStyle w:val="BodyTextIndent3"/>
        <w:spacing w:after="0"/>
        <w:ind w:left="0"/>
        <w:rPr>
          <w:rFonts w:ascii="Arial" w:hAnsi="Arial" w:cs="Arial"/>
          <w:sz w:val="24"/>
        </w:rPr>
      </w:pPr>
      <w:r>
        <w:rPr>
          <w:rFonts w:ascii="Arial" w:hAnsi="Arial" w:cs="Arial"/>
          <w:sz w:val="24"/>
        </w:rPr>
        <w:t xml:space="preserve">The endoscopy service performed ahead of plan by 62 procedures in March and was 839 procedures ahead of the full year plan. </w:t>
      </w:r>
    </w:p>
    <w:p w:rsidR="0074139D" w:rsidRDefault="0074139D" w:rsidP="00812CBD">
      <w:pPr>
        <w:pStyle w:val="BodyTextIndent3"/>
        <w:spacing w:after="0"/>
        <w:ind w:left="0"/>
        <w:rPr>
          <w:rFonts w:ascii="Arial" w:hAnsi="Arial" w:cs="Arial"/>
          <w:sz w:val="24"/>
        </w:rPr>
      </w:pPr>
    </w:p>
    <w:p w:rsidR="0074139D" w:rsidRDefault="0074139D" w:rsidP="00812CBD">
      <w:pPr>
        <w:pStyle w:val="BodyTextIndent3"/>
        <w:spacing w:after="0"/>
        <w:ind w:left="0"/>
        <w:rPr>
          <w:rFonts w:ascii="Arial" w:hAnsi="Arial" w:cs="Arial"/>
          <w:b/>
          <w:sz w:val="24"/>
        </w:rPr>
      </w:pPr>
      <w:r>
        <w:rPr>
          <w:rFonts w:ascii="Arial" w:hAnsi="Arial" w:cs="Arial"/>
          <w:b/>
          <w:sz w:val="24"/>
        </w:rPr>
        <w:t>3.6</w:t>
      </w:r>
      <w:r>
        <w:rPr>
          <w:rFonts w:ascii="Arial" w:hAnsi="Arial" w:cs="Arial"/>
          <w:b/>
          <w:sz w:val="24"/>
        </w:rPr>
        <w:tab/>
      </w:r>
      <w:r w:rsidRPr="00C729C5">
        <w:rPr>
          <w:rFonts w:ascii="Arial" w:hAnsi="Arial" w:cs="Arial"/>
          <w:b/>
          <w:sz w:val="24"/>
        </w:rPr>
        <w:t>Diagnostic Imaging</w:t>
      </w:r>
    </w:p>
    <w:p w:rsidR="0074139D" w:rsidRDefault="0074139D" w:rsidP="00812CBD">
      <w:pPr>
        <w:pStyle w:val="BodyTextIndent3"/>
        <w:spacing w:after="0"/>
        <w:ind w:left="0"/>
        <w:rPr>
          <w:rFonts w:ascii="Arial" w:hAnsi="Arial" w:cs="Arial"/>
          <w:sz w:val="24"/>
        </w:rPr>
      </w:pPr>
    </w:p>
    <w:p w:rsidR="00812CBD" w:rsidRDefault="00812CBD" w:rsidP="00812CBD">
      <w:pPr>
        <w:pStyle w:val="BodyTextIndent3"/>
        <w:spacing w:after="0"/>
        <w:ind w:left="0"/>
        <w:rPr>
          <w:rFonts w:ascii="Arial" w:hAnsi="Arial" w:cs="Arial"/>
          <w:sz w:val="24"/>
        </w:rPr>
      </w:pPr>
      <w:r>
        <w:rPr>
          <w:rFonts w:ascii="Arial" w:hAnsi="Arial" w:cs="Arial"/>
          <w:sz w:val="24"/>
        </w:rPr>
        <w:t>The annual diagnostic imaging target has increased from 29,450 to 31,830 (8% increase) in 2018/19 to take account of the additional activity that would be carried out on the new MRI scanners</w:t>
      </w:r>
      <w:r w:rsidRPr="00B355CC">
        <w:rPr>
          <w:rFonts w:ascii="Arial" w:hAnsi="Arial" w:cs="Arial"/>
          <w:sz w:val="24"/>
        </w:rPr>
        <w:t xml:space="preserve">.  </w:t>
      </w:r>
      <w:r>
        <w:rPr>
          <w:rFonts w:ascii="Arial" w:hAnsi="Arial" w:cs="Arial"/>
          <w:sz w:val="24"/>
        </w:rPr>
        <w:t>Additionally, the second CT scanner was commissioned ahead of the planned ‘go live’ date.  Consequently we were in a position to offer Boards additional CT activity in February and March.</w:t>
      </w:r>
    </w:p>
    <w:p w:rsidR="00B0525B" w:rsidRPr="001175E5" w:rsidRDefault="00B0525B" w:rsidP="00812CBD">
      <w:pPr>
        <w:ind w:right="183"/>
        <w:rPr>
          <w:rFonts w:ascii="Arial" w:hAnsi="Arial" w:cs="Arial"/>
          <w:b/>
          <w:bCs/>
        </w:rPr>
      </w:pPr>
    </w:p>
    <w:p w:rsidR="0074139D" w:rsidRDefault="0074139D" w:rsidP="00812CBD">
      <w:pPr>
        <w:rPr>
          <w:rFonts w:ascii="Arial" w:hAnsi="Arial" w:cs="Arial"/>
          <w:b/>
        </w:rPr>
      </w:pPr>
      <w:r>
        <w:rPr>
          <w:rFonts w:ascii="Arial" w:hAnsi="Arial" w:cs="Arial"/>
          <w:b/>
        </w:rPr>
        <w:t>4</w:t>
      </w:r>
      <w:r>
        <w:rPr>
          <w:rFonts w:ascii="Arial" w:hAnsi="Arial" w:cs="Arial"/>
          <w:b/>
        </w:rPr>
        <w:tab/>
        <w:t>Current Situation</w:t>
      </w:r>
    </w:p>
    <w:p w:rsidR="00812CBD" w:rsidRDefault="00812CBD" w:rsidP="00812CBD">
      <w:pPr>
        <w:rPr>
          <w:rFonts w:ascii="Arial" w:hAnsi="Arial" w:cs="Arial"/>
          <w:b/>
        </w:rPr>
      </w:pPr>
    </w:p>
    <w:p w:rsidR="00812CBD" w:rsidRDefault="00812CBD" w:rsidP="00812CBD">
      <w:pPr>
        <w:numPr>
          <w:ilvl w:val="0"/>
          <w:numId w:val="22"/>
        </w:numPr>
        <w:rPr>
          <w:rFonts w:ascii="Arial" w:hAnsi="Arial" w:cs="Arial"/>
        </w:rPr>
      </w:pPr>
      <w:r w:rsidRPr="000D774A">
        <w:rPr>
          <w:rFonts w:ascii="Arial" w:hAnsi="Arial" w:cs="Arial"/>
        </w:rPr>
        <w:t xml:space="preserve">The orthopaedic surgery service had a very productive and successful year.  Orthopaedic joint replacements exceeded </w:t>
      </w:r>
      <w:r>
        <w:rPr>
          <w:rFonts w:ascii="Arial" w:hAnsi="Arial" w:cs="Arial"/>
        </w:rPr>
        <w:t>the full year plan by 7.3%</w:t>
      </w:r>
      <w:proofErr w:type="gramStart"/>
      <w:r>
        <w:rPr>
          <w:rFonts w:ascii="Arial" w:hAnsi="Arial" w:cs="Arial"/>
        </w:rPr>
        <w:t>,  foo</w:t>
      </w:r>
      <w:r w:rsidRPr="000D774A">
        <w:rPr>
          <w:rFonts w:ascii="Arial" w:hAnsi="Arial" w:cs="Arial"/>
        </w:rPr>
        <w:t>t</w:t>
      </w:r>
      <w:proofErr w:type="gramEnd"/>
      <w:r w:rsidRPr="000D774A">
        <w:rPr>
          <w:rFonts w:ascii="Arial" w:hAnsi="Arial" w:cs="Arial"/>
        </w:rPr>
        <w:t xml:space="preserve"> and ankle surgery exceeded the full year plan by 13.6% and orthopaedic ‘other’ procedures exceeded the full year plan by 14.2%.  </w:t>
      </w:r>
      <w:r>
        <w:rPr>
          <w:rFonts w:ascii="Arial" w:hAnsi="Arial" w:cs="Arial"/>
        </w:rPr>
        <w:t xml:space="preserve">Overall orthopaedic surgery increased their throughput by 6.3% since last year.  </w:t>
      </w:r>
    </w:p>
    <w:p w:rsidR="00812CBD" w:rsidRDefault="00812CBD" w:rsidP="00812CBD">
      <w:pPr>
        <w:rPr>
          <w:rFonts w:ascii="Arial" w:hAnsi="Arial" w:cs="Arial"/>
        </w:rPr>
      </w:pPr>
    </w:p>
    <w:p w:rsidR="00812CBD" w:rsidRPr="00954DCB" w:rsidRDefault="00812CBD" w:rsidP="00812CBD">
      <w:pPr>
        <w:pStyle w:val="ListParagraph"/>
        <w:numPr>
          <w:ilvl w:val="0"/>
          <w:numId w:val="22"/>
        </w:numPr>
        <w:rPr>
          <w:rFonts w:ascii="Arial" w:hAnsi="Arial" w:cs="Arial"/>
        </w:rPr>
      </w:pPr>
      <w:r>
        <w:rPr>
          <w:rFonts w:ascii="Arial" w:hAnsi="Arial" w:cs="Arial"/>
        </w:rPr>
        <w:t xml:space="preserve">Throughput in Ophthalmology has been high throughout the year although the service fell short of the </w:t>
      </w:r>
      <w:proofErr w:type="spellStart"/>
      <w:r>
        <w:rPr>
          <w:rFonts w:ascii="Arial" w:hAnsi="Arial" w:cs="Arial"/>
        </w:rPr>
        <w:t>year end</w:t>
      </w:r>
      <w:proofErr w:type="spellEnd"/>
      <w:r>
        <w:rPr>
          <w:rFonts w:ascii="Arial" w:hAnsi="Arial" w:cs="Arial"/>
        </w:rPr>
        <w:t xml:space="preserve"> target by 137 procedures.   This shortfall is equivalent to approximately 9.7 days of activity throughout the year.  The service has however risen to many challenges and continues to redesign and work on innovative solutions to counteract the effect of the national shortage of ophthalmic surgeons.</w:t>
      </w:r>
    </w:p>
    <w:p w:rsidR="00812CBD" w:rsidRPr="000D774A" w:rsidRDefault="00812CBD" w:rsidP="00812CBD">
      <w:pPr>
        <w:ind w:left="720"/>
        <w:rPr>
          <w:rFonts w:ascii="Arial" w:hAnsi="Arial" w:cs="Arial"/>
        </w:rPr>
      </w:pPr>
    </w:p>
    <w:p w:rsidR="00812CBD" w:rsidRDefault="00812CBD" w:rsidP="00812CBD">
      <w:pPr>
        <w:pStyle w:val="ListParagraph"/>
        <w:numPr>
          <w:ilvl w:val="0"/>
          <w:numId w:val="22"/>
        </w:numPr>
        <w:rPr>
          <w:rFonts w:ascii="Arial" w:hAnsi="Arial" w:cs="Arial"/>
        </w:rPr>
      </w:pPr>
      <w:r>
        <w:rPr>
          <w:rFonts w:ascii="Arial" w:hAnsi="Arial" w:cs="Arial"/>
        </w:rPr>
        <w:t xml:space="preserve">The </w:t>
      </w:r>
      <w:proofErr w:type="spellStart"/>
      <w:r>
        <w:rPr>
          <w:rFonts w:ascii="Arial" w:hAnsi="Arial" w:cs="Arial"/>
        </w:rPr>
        <w:t>year end</w:t>
      </w:r>
      <w:proofErr w:type="spellEnd"/>
      <w:r>
        <w:rPr>
          <w:rFonts w:ascii="Arial" w:hAnsi="Arial" w:cs="Arial"/>
        </w:rPr>
        <w:t xml:space="preserve"> output for h</w:t>
      </w:r>
      <w:r w:rsidRPr="00496F19">
        <w:rPr>
          <w:rFonts w:ascii="Arial" w:hAnsi="Arial" w:cs="Arial"/>
        </w:rPr>
        <w:t xml:space="preserve">and surgery </w:t>
      </w:r>
      <w:r>
        <w:rPr>
          <w:rFonts w:ascii="Arial" w:hAnsi="Arial" w:cs="Arial"/>
        </w:rPr>
        <w:t xml:space="preserve">and minor plastics surgery was disappointing.  Referrals for each of these procedures </w:t>
      </w:r>
      <w:r w:rsidRPr="00496F19">
        <w:rPr>
          <w:rFonts w:ascii="Arial" w:hAnsi="Arial" w:cs="Arial"/>
        </w:rPr>
        <w:t xml:space="preserve">are predominantly received from one NHS Board.  This Board experienced challenges around the provision of local specialist post operative physiotherapy for </w:t>
      </w:r>
      <w:r>
        <w:rPr>
          <w:rFonts w:ascii="Arial" w:hAnsi="Arial" w:cs="Arial"/>
        </w:rPr>
        <w:t>patients requiring hand surgery</w:t>
      </w:r>
      <w:r w:rsidRPr="00496F19">
        <w:rPr>
          <w:rFonts w:ascii="Arial" w:hAnsi="Arial" w:cs="Arial"/>
        </w:rPr>
        <w:t xml:space="preserve"> and </w:t>
      </w:r>
      <w:r>
        <w:rPr>
          <w:rFonts w:ascii="Arial" w:hAnsi="Arial" w:cs="Arial"/>
        </w:rPr>
        <w:t xml:space="preserve">they </w:t>
      </w:r>
      <w:r w:rsidRPr="00496F19">
        <w:rPr>
          <w:rFonts w:ascii="Arial" w:hAnsi="Arial" w:cs="Arial"/>
        </w:rPr>
        <w:t xml:space="preserve">therefore cancelled a number of hand surgery theatre sessions.  </w:t>
      </w:r>
      <w:r>
        <w:rPr>
          <w:rFonts w:ascii="Arial" w:hAnsi="Arial" w:cs="Arial"/>
        </w:rPr>
        <w:t>Additionally, t</w:t>
      </w:r>
      <w:r w:rsidRPr="005D0436">
        <w:rPr>
          <w:rFonts w:ascii="Arial" w:hAnsi="Arial" w:cs="Arial"/>
        </w:rPr>
        <w:t>he same Board has had challenges identifying appropriate patients to utilise their minor plastic surgery allocati</w:t>
      </w:r>
      <w:r>
        <w:rPr>
          <w:rFonts w:ascii="Arial" w:hAnsi="Arial" w:cs="Arial"/>
        </w:rPr>
        <w:t>on.  C</w:t>
      </w:r>
      <w:r w:rsidRPr="005D0436">
        <w:rPr>
          <w:rFonts w:ascii="Arial" w:hAnsi="Arial" w:cs="Arial"/>
        </w:rPr>
        <w:t>onsequently</w:t>
      </w:r>
      <w:r>
        <w:rPr>
          <w:rFonts w:ascii="Arial" w:hAnsi="Arial" w:cs="Arial"/>
        </w:rPr>
        <w:t xml:space="preserve"> only 6</w:t>
      </w:r>
      <w:r w:rsidRPr="005D0436">
        <w:rPr>
          <w:rFonts w:ascii="Arial" w:hAnsi="Arial" w:cs="Arial"/>
        </w:rPr>
        <w:t xml:space="preserve">3% of the expected activity </w:t>
      </w:r>
      <w:r>
        <w:rPr>
          <w:rFonts w:ascii="Arial" w:hAnsi="Arial" w:cs="Arial"/>
        </w:rPr>
        <w:t xml:space="preserve">was </w:t>
      </w:r>
      <w:r w:rsidRPr="005D0436">
        <w:rPr>
          <w:rFonts w:ascii="Arial" w:hAnsi="Arial" w:cs="Arial"/>
        </w:rPr>
        <w:t>carried out</w:t>
      </w:r>
      <w:r>
        <w:rPr>
          <w:rFonts w:ascii="Arial" w:hAnsi="Arial" w:cs="Arial"/>
        </w:rPr>
        <w:t xml:space="preserve"> by the year end</w:t>
      </w:r>
      <w:r w:rsidRPr="005D0436">
        <w:rPr>
          <w:rFonts w:ascii="Arial" w:hAnsi="Arial" w:cs="Arial"/>
        </w:rPr>
        <w:t>.  Discussions have taken place with this Board and agreement has been reached that their allocation will be reduced by 50% in 2019/20.</w:t>
      </w:r>
    </w:p>
    <w:p w:rsidR="00812CBD" w:rsidRPr="00954DCB" w:rsidRDefault="00812CBD" w:rsidP="00812CBD">
      <w:pPr>
        <w:pStyle w:val="ListParagraph"/>
        <w:rPr>
          <w:rFonts w:ascii="Arial" w:hAnsi="Arial" w:cs="Arial"/>
        </w:rPr>
      </w:pPr>
    </w:p>
    <w:p w:rsidR="00812CBD" w:rsidRPr="00812CBD" w:rsidRDefault="00812CBD" w:rsidP="00812CBD">
      <w:pPr>
        <w:pStyle w:val="ListParagraph"/>
        <w:numPr>
          <w:ilvl w:val="0"/>
          <w:numId w:val="22"/>
        </w:numPr>
        <w:rPr>
          <w:rFonts w:ascii="Arial" w:hAnsi="Arial" w:cs="Arial"/>
        </w:rPr>
      </w:pPr>
      <w:r w:rsidRPr="00812CBD">
        <w:rPr>
          <w:rFonts w:ascii="Arial" w:hAnsi="Arial" w:cs="Arial"/>
        </w:rPr>
        <w:t xml:space="preserve">Endoscopy is delivered entirely by visiting consultants and therefore presents ongoing challenges.  However, the service has remained focussed on </w:t>
      </w:r>
      <w:r w:rsidRPr="00812CBD">
        <w:rPr>
          <w:rFonts w:ascii="Arial" w:hAnsi="Arial" w:cs="Arial"/>
        </w:rPr>
        <w:lastRenderedPageBreak/>
        <w:t>engaging with the consultants, and has carried out focussed work on actively reducing cancellations and DNAs.  At the year end the service delivered 45.4% more procedures than was planned at the beginning of the year.</w:t>
      </w:r>
    </w:p>
    <w:p w:rsidR="00812CBD" w:rsidRDefault="00812CBD" w:rsidP="00812CBD">
      <w:pPr>
        <w:tabs>
          <w:tab w:val="left" w:pos="709"/>
        </w:tabs>
        <w:ind w:left="720"/>
        <w:rPr>
          <w:rFonts w:ascii="Arial" w:hAnsi="Arial" w:cs="Arial"/>
        </w:rPr>
      </w:pPr>
      <w:r w:rsidRPr="00327CB0">
        <w:rPr>
          <w:rFonts w:ascii="Arial" w:hAnsi="Arial" w:cs="Arial"/>
        </w:rPr>
        <w:t xml:space="preserve">  </w:t>
      </w:r>
    </w:p>
    <w:p w:rsidR="00812CBD" w:rsidRPr="00546B8C" w:rsidRDefault="00812CBD" w:rsidP="00812CBD">
      <w:pPr>
        <w:pStyle w:val="ListParagraph"/>
        <w:numPr>
          <w:ilvl w:val="0"/>
          <w:numId w:val="22"/>
        </w:numPr>
        <w:rPr>
          <w:rFonts w:ascii="Arial" w:hAnsi="Arial" w:cs="Arial"/>
        </w:rPr>
      </w:pPr>
      <w:r w:rsidRPr="00546B8C">
        <w:rPr>
          <w:rFonts w:ascii="Arial" w:hAnsi="Arial" w:cs="Arial"/>
        </w:rPr>
        <w:t>Diagnostic imaging performed significantly ahead of their full year plan by 10.8%.  This was predominantly due to an underestimation of the capability and efficiency that would be achieved on the new MRI scanner and als</w:t>
      </w:r>
      <w:r>
        <w:rPr>
          <w:rFonts w:ascii="Arial" w:hAnsi="Arial" w:cs="Arial"/>
        </w:rPr>
        <w:t>o the early commissioning of</w:t>
      </w:r>
      <w:r w:rsidRPr="00546B8C">
        <w:rPr>
          <w:rFonts w:ascii="Arial" w:hAnsi="Arial" w:cs="Arial"/>
        </w:rPr>
        <w:t xml:space="preserve"> a second CT scanner which resulted in a significant amount of additional capacity being offered to Boards in February and March.  </w:t>
      </w:r>
    </w:p>
    <w:p w:rsidR="00812CBD" w:rsidRDefault="00812CBD" w:rsidP="00812CBD">
      <w:pPr>
        <w:pStyle w:val="BodyTextIndent3"/>
        <w:spacing w:after="0"/>
        <w:ind w:left="0" w:right="-360"/>
        <w:rPr>
          <w:rFonts w:ascii="Arial" w:hAnsi="Arial" w:cs="Arial"/>
          <w:b/>
          <w:sz w:val="24"/>
        </w:rPr>
      </w:pPr>
    </w:p>
    <w:p w:rsidR="00812CBD" w:rsidRPr="005912C9" w:rsidRDefault="00812CBD" w:rsidP="00812CBD">
      <w:pPr>
        <w:pStyle w:val="BodyTextIndent3"/>
        <w:numPr>
          <w:ilvl w:val="0"/>
          <w:numId w:val="22"/>
        </w:numPr>
        <w:spacing w:after="0"/>
        <w:ind w:left="709" w:right="-360" w:hanging="283"/>
        <w:rPr>
          <w:rFonts w:ascii="Arial" w:hAnsi="Arial" w:cs="Arial"/>
          <w:b/>
          <w:sz w:val="24"/>
        </w:rPr>
      </w:pPr>
      <w:r>
        <w:rPr>
          <w:rFonts w:ascii="Arial" w:hAnsi="Arial" w:cs="Arial"/>
          <w:sz w:val="24"/>
        </w:rPr>
        <w:t xml:space="preserve">It was perceived that the hospital had reached maximum capacity in theatres, MRI and CT.  However, through collaborative redesign and creative planning, services have continued to grow.  </w:t>
      </w:r>
    </w:p>
    <w:p w:rsidR="00812CBD" w:rsidRDefault="00812CBD" w:rsidP="00812CBD">
      <w:pPr>
        <w:pStyle w:val="BodyTextIndent3"/>
        <w:spacing w:after="0"/>
        <w:ind w:left="709" w:right="-360"/>
        <w:rPr>
          <w:rFonts w:ascii="Arial" w:hAnsi="Arial" w:cs="Arial"/>
          <w:b/>
          <w:sz w:val="24"/>
        </w:rPr>
      </w:pPr>
    </w:p>
    <w:p w:rsidR="00812CBD" w:rsidRPr="005912C9" w:rsidRDefault="00812CBD" w:rsidP="00812CBD">
      <w:pPr>
        <w:pStyle w:val="BodyTextIndent3"/>
        <w:spacing w:after="0"/>
        <w:ind w:left="0" w:right="-360"/>
        <w:rPr>
          <w:rFonts w:ascii="Arial" w:hAnsi="Arial" w:cs="Arial"/>
          <w:b/>
          <w:sz w:val="24"/>
        </w:rPr>
      </w:pPr>
      <w:r w:rsidRPr="005912C9">
        <w:rPr>
          <w:rFonts w:ascii="Arial" w:hAnsi="Arial" w:cs="Arial"/>
          <w:sz w:val="24"/>
        </w:rPr>
        <w:t>In summary, 2018/19 has been a very productive year for GJNH as is described in the activity chart below.</w:t>
      </w:r>
    </w:p>
    <w:p w:rsidR="00812CBD" w:rsidRDefault="00812CBD" w:rsidP="00812CBD">
      <w:pPr>
        <w:pStyle w:val="BodyTextIndent3"/>
        <w:spacing w:after="0"/>
        <w:ind w:right="-360"/>
        <w:rPr>
          <w:rFonts w:ascii="Arial" w:hAnsi="Arial" w:cs="Arial"/>
          <w:sz w:val="24"/>
        </w:rPr>
      </w:pPr>
    </w:p>
    <w:p w:rsidR="00812CBD" w:rsidRPr="00812CBD" w:rsidRDefault="00812CBD" w:rsidP="00812CBD">
      <w:pPr>
        <w:pStyle w:val="BodyTextIndent3"/>
        <w:ind w:left="0" w:right="-360"/>
        <w:rPr>
          <w:rFonts w:ascii="Arial" w:hAnsi="Arial" w:cs="Arial"/>
          <w:b/>
          <w:sz w:val="24"/>
          <w:szCs w:val="24"/>
        </w:rPr>
      </w:pPr>
      <w:r w:rsidRPr="00812CBD">
        <w:rPr>
          <w:rFonts w:ascii="Arial" w:hAnsi="Arial" w:cs="Arial"/>
          <w:b/>
          <w:sz w:val="24"/>
          <w:szCs w:val="24"/>
        </w:rPr>
        <w:t>Activity 2011 - 2019</w:t>
      </w:r>
    </w:p>
    <w:p w:rsidR="00812CBD" w:rsidRDefault="00812CBD" w:rsidP="00812CBD">
      <w:pPr>
        <w:pStyle w:val="BodyTextIndent3"/>
        <w:ind w:left="0" w:right="-360"/>
        <w:rPr>
          <w:rFonts w:ascii="Arial" w:hAnsi="Arial" w:cs="Arial"/>
          <w:b/>
          <w:sz w:val="20"/>
          <w:szCs w:val="20"/>
        </w:rPr>
      </w:pPr>
    </w:p>
    <w:p w:rsidR="00812CBD" w:rsidRDefault="00812CBD" w:rsidP="00812CBD">
      <w:pPr>
        <w:pStyle w:val="BodyTextIndent3"/>
        <w:ind w:left="0" w:right="-360"/>
        <w:rPr>
          <w:rFonts w:ascii="Arial" w:hAnsi="Arial" w:cs="Arial"/>
          <w:b/>
          <w:sz w:val="24"/>
        </w:rPr>
      </w:pPr>
      <w:r w:rsidRPr="00DA3719">
        <w:rPr>
          <w:rFonts w:ascii="Arial" w:hAnsi="Arial" w:cs="Arial"/>
          <w:b/>
          <w:noProof/>
          <w:sz w:val="24"/>
          <w:lang w:eastAsia="en-GB"/>
        </w:rPr>
        <w:drawing>
          <wp:inline distT="0" distB="0" distL="0" distR="0">
            <wp:extent cx="5403342" cy="3438144"/>
            <wp:effectExtent l="19050" t="0" r="6858"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2CBD" w:rsidRDefault="00812CBD" w:rsidP="00812CBD">
      <w:pPr>
        <w:pStyle w:val="BodyTextIndent3"/>
        <w:ind w:right="-360"/>
        <w:rPr>
          <w:rFonts w:ascii="Arial" w:hAnsi="Arial" w:cs="Arial"/>
          <w:sz w:val="24"/>
        </w:rPr>
      </w:pPr>
    </w:p>
    <w:p w:rsidR="0074139D" w:rsidRPr="00B830B4" w:rsidRDefault="0074139D" w:rsidP="0074139D">
      <w:pPr>
        <w:pStyle w:val="ListParagraph"/>
        <w:ind w:left="709" w:hanging="709"/>
        <w:rPr>
          <w:rFonts w:ascii="Arial" w:hAnsi="Arial" w:cs="Arial"/>
          <w:b/>
        </w:rPr>
      </w:pPr>
      <w:r w:rsidRPr="00B830B4">
        <w:rPr>
          <w:rFonts w:ascii="Arial" w:hAnsi="Arial" w:cs="Arial"/>
          <w:b/>
        </w:rPr>
        <w:t>5</w:t>
      </w:r>
      <w:r w:rsidRPr="00B830B4">
        <w:rPr>
          <w:rFonts w:ascii="Arial" w:hAnsi="Arial" w:cs="Arial"/>
          <w:b/>
        </w:rPr>
        <w:tab/>
        <w:t>Recommendation</w:t>
      </w:r>
    </w:p>
    <w:p w:rsidR="0074139D" w:rsidRDefault="0074139D" w:rsidP="0074139D">
      <w:pPr>
        <w:pStyle w:val="ListParagraph"/>
        <w:ind w:left="360"/>
        <w:rPr>
          <w:rFonts w:ascii="Arial" w:hAnsi="Arial" w:cs="Arial"/>
        </w:rPr>
      </w:pPr>
    </w:p>
    <w:p w:rsidR="0074139D" w:rsidRDefault="0074139D" w:rsidP="0074139D">
      <w:pPr>
        <w:pStyle w:val="ListParagraph"/>
        <w:ind w:left="360"/>
        <w:rPr>
          <w:rFonts w:ascii="Arial" w:hAnsi="Arial" w:cs="Arial"/>
        </w:rPr>
      </w:pPr>
      <w:r>
        <w:rPr>
          <w:rFonts w:ascii="Arial" w:hAnsi="Arial" w:cs="Arial"/>
        </w:rPr>
        <w:tab/>
        <w:t>Board Members are asked to note the report.</w:t>
      </w:r>
    </w:p>
    <w:p w:rsidR="0074139D" w:rsidRDefault="0074139D" w:rsidP="0074139D">
      <w:pPr>
        <w:pStyle w:val="BodyTextIndent3"/>
        <w:spacing w:after="0"/>
        <w:ind w:left="0"/>
        <w:rPr>
          <w:rFonts w:ascii="Arial" w:hAnsi="Arial" w:cs="Arial"/>
          <w:b/>
          <w:sz w:val="24"/>
          <w:szCs w:val="24"/>
        </w:rPr>
      </w:pPr>
    </w:p>
    <w:p w:rsidR="0074139D" w:rsidRDefault="0074139D" w:rsidP="00B0525B">
      <w:pPr>
        <w:ind w:right="183"/>
        <w:rPr>
          <w:rFonts w:ascii="Arial" w:hAnsi="Arial" w:cs="Arial"/>
          <w:b/>
          <w:bCs/>
        </w:rPr>
      </w:pPr>
    </w:p>
    <w:p w:rsidR="00B0525B" w:rsidRPr="001175E5" w:rsidRDefault="00B0525B" w:rsidP="00B0525B">
      <w:pPr>
        <w:ind w:right="183"/>
        <w:rPr>
          <w:rFonts w:ascii="Arial" w:hAnsi="Arial" w:cs="Arial"/>
          <w:b/>
          <w:bCs/>
        </w:rPr>
      </w:pPr>
    </w:p>
    <w:p w:rsidR="00B0525B" w:rsidRDefault="0074139D" w:rsidP="00B0525B">
      <w:pPr>
        <w:ind w:right="183"/>
        <w:rPr>
          <w:rFonts w:ascii="Arial" w:hAnsi="Arial" w:cs="Arial"/>
          <w:b/>
          <w:bCs/>
        </w:rPr>
      </w:pPr>
      <w:r>
        <w:rPr>
          <w:rFonts w:ascii="Arial" w:hAnsi="Arial" w:cs="Arial"/>
          <w:b/>
          <w:bCs/>
        </w:rPr>
        <w:t>June Rogers</w:t>
      </w:r>
      <w:r w:rsidR="00B0525B">
        <w:rPr>
          <w:rFonts w:ascii="Arial" w:hAnsi="Arial" w:cs="Arial"/>
          <w:b/>
          <w:bCs/>
        </w:rPr>
        <w:tab/>
      </w:r>
    </w:p>
    <w:p w:rsidR="00B0525B" w:rsidRDefault="0074139D" w:rsidP="00B0525B">
      <w:pPr>
        <w:ind w:right="183"/>
        <w:rPr>
          <w:rFonts w:ascii="Arial" w:hAnsi="Arial" w:cs="Arial"/>
          <w:b/>
          <w:bCs/>
        </w:rPr>
      </w:pPr>
      <w:r>
        <w:rPr>
          <w:rFonts w:ascii="Arial" w:hAnsi="Arial" w:cs="Arial"/>
          <w:b/>
          <w:bCs/>
        </w:rPr>
        <w:t>Director of Operations</w:t>
      </w:r>
      <w:r w:rsidR="00B0525B">
        <w:rPr>
          <w:rFonts w:ascii="Arial" w:hAnsi="Arial" w:cs="Arial"/>
          <w:b/>
          <w:bCs/>
        </w:rPr>
        <w:tab/>
      </w:r>
    </w:p>
    <w:p w:rsidR="00B0525B" w:rsidRPr="00C92710" w:rsidRDefault="00812CBD" w:rsidP="00B0525B">
      <w:pPr>
        <w:ind w:right="183"/>
        <w:rPr>
          <w:rFonts w:ascii="Arial" w:hAnsi="Arial" w:cs="Arial"/>
          <w:b/>
          <w:bCs/>
        </w:rPr>
      </w:pPr>
      <w:r>
        <w:rPr>
          <w:rFonts w:ascii="Arial" w:hAnsi="Arial" w:cs="Arial"/>
          <w:b/>
          <w:bCs/>
        </w:rPr>
        <w:t>April</w:t>
      </w:r>
      <w:r w:rsidR="0074139D">
        <w:rPr>
          <w:rFonts w:ascii="Arial" w:hAnsi="Arial" w:cs="Arial"/>
          <w:b/>
          <w:bCs/>
        </w:rPr>
        <w:t xml:space="preserve"> 2019</w:t>
      </w:r>
    </w:p>
    <w:p w:rsidR="00B0525B" w:rsidRDefault="00B0525B" w:rsidP="00B0525B">
      <w:pPr>
        <w:ind w:right="183"/>
        <w:rPr>
          <w:rFonts w:ascii="Arial" w:hAnsi="Arial" w:cs="Arial"/>
          <w:b/>
          <w:bCs/>
        </w:rPr>
      </w:pPr>
    </w:p>
    <w:sectPr w:rsidR="00B0525B" w:rsidSect="005B69F4">
      <w:footerReference w:type="default" r:id="rId10"/>
      <w:headerReference w:type="first" r:id="rId11"/>
      <w:footerReference w:type="first" r:id="rId12"/>
      <w:pgSz w:w="11906" w:h="16838"/>
      <w:pgMar w:top="1440" w:right="1440" w:bottom="1440" w:left="1440" w:header="709" w:footer="43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599" w:rsidRDefault="00736599">
      <w:r>
        <w:separator/>
      </w:r>
    </w:p>
  </w:endnote>
  <w:endnote w:type="continuationSeparator" w:id="0">
    <w:p w:rsidR="00736599" w:rsidRDefault="007365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3CC" w:rsidRPr="00513DB0" w:rsidRDefault="002253CC" w:rsidP="00C24B4E">
    <w:pPr>
      <w:jc w:val="center"/>
      <w:rPr>
        <w:rFonts w:ascii="Arial" w:hAnsi="Arial" w:cs="Arial"/>
        <w:sz w:val="20"/>
        <w:szCs w:val="20"/>
      </w:rPr>
    </w:pPr>
    <w:r>
      <w:rPr>
        <w:rStyle w:val="PageNumber"/>
        <w:rFonts w:ascii="Arial" w:hAnsi="Arial" w:cs="Arial"/>
      </w:rPr>
      <w:t>___________________________________________________________________</w:t>
    </w:r>
    <w:r w:rsidR="00462756" w:rsidRPr="00513DB0">
      <w:rPr>
        <w:rStyle w:val="PageNumber"/>
        <w:rFonts w:ascii="Arial" w:hAnsi="Arial" w:cs="Arial"/>
      </w:rPr>
      <w:fldChar w:fldCharType="begin"/>
    </w:r>
    <w:r w:rsidRPr="00513DB0">
      <w:rPr>
        <w:rStyle w:val="PageNumber"/>
        <w:rFonts w:ascii="Arial" w:hAnsi="Arial" w:cs="Arial"/>
      </w:rPr>
      <w:instrText xml:space="preserve"> PAGE </w:instrText>
    </w:r>
    <w:r w:rsidR="00462756" w:rsidRPr="00513DB0">
      <w:rPr>
        <w:rStyle w:val="PageNumber"/>
        <w:rFonts w:ascii="Arial" w:hAnsi="Arial" w:cs="Arial"/>
      </w:rPr>
      <w:fldChar w:fldCharType="separate"/>
    </w:r>
    <w:r w:rsidR="00197A79">
      <w:rPr>
        <w:rStyle w:val="PageNumber"/>
        <w:rFonts w:ascii="Arial" w:hAnsi="Arial" w:cs="Arial"/>
        <w:noProof/>
      </w:rPr>
      <w:t>5</w:t>
    </w:r>
    <w:r w:rsidR="00462756" w:rsidRPr="00513DB0">
      <w:rPr>
        <w:rStyle w:val="PageNumber"/>
        <w:rFonts w:ascii="Arial" w:hAnsi="Arial" w:cs="Arial"/>
      </w:rPr>
      <w:fldChar w:fldCharType="end"/>
    </w:r>
  </w:p>
  <w:p w:rsidR="002253CC" w:rsidRDefault="002253CC" w:rsidP="00C24B4E">
    <w:pPr>
      <w:ind w:right="184"/>
      <w:jc w:val="center"/>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3CC" w:rsidRPr="00513DB0" w:rsidRDefault="002253CC"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462756" w:rsidRPr="00513DB0">
      <w:rPr>
        <w:rStyle w:val="PageNumber"/>
        <w:rFonts w:ascii="Arial" w:hAnsi="Arial" w:cs="Arial"/>
      </w:rPr>
      <w:fldChar w:fldCharType="begin"/>
    </w:r>
    <w:r w:rsidRPr="00513DB0">
      <w:rPr>
        <w:rStyle w:val="PageNumber"/>
        <w:rFonts w:ascii="Arial" w:hAnsi="Arial" w:cs="Arial"/>
      </w:rPr>
      <w:instrText xml:space="preserve"> PAGE </w:instrText>
    </w:r>
    <w:r w:rsidR="00462756" w:rsidRPr="00513DB0">
      <w:rPr>
        <w:rStyle w:val="PageNumber"/>
        <w:rFonts w:ascii="Arial" w:hAnsi="Arial" w:cs="Arial"/>
      </w:rPr>
      <w:fldChar w:fldCharType="separate"/>
    </w:r>
    <w:r w:rsidR="00197A79">
      <w:rPr>
        <w:rStyle w:val="PageNumber"/>
        <w:rFonts w:ascii="Arial" w:hAnsi="Arial" w:cs="Arial"/>
        <w:noProof/>
      </w:rPr>
      <w:t>1</w:t>
    </w:r>
    <w:r w:rsidR="00462756" w:rsidRPr="00513DB0">
      <w:rPr>
        <w:rStyle w:val="PageNumber"/>
        <w:rFonts w:ascii="Arial" w:hAnsi="Arial" w:cs="Arial"/>
      </w:rPr>
      <w:fldChar w:fldCharType="end"/>
    </w:r>
  </w:p>
  <w:p w:rsidR="002253CC" w:rsidRDefault="00F459C0" w:rsidP="005B69F4">
    <w:pPr>
      <w:ind w:right="184"/>
      <w:jc w:val="center"/>
      <w:rPr>
        <w:rFonts w:ascii="Arial" w:hAnsi="Arial" w:cs="Arial"/>
        <w:sz w:val="20"/>
        <w:szCs w:val="20"/>
      </w:rPr>
    </w:pPr>
    <w:r>
      <w:rPr>
        <w:rFonts w:ascii="Arial" w:hAnsi="Arial" w:cs="Arial"/>
        <w:noProof/>
        <w:sz w:val="18"/>
        <w:szCs w:val="18"/>
        <w:lang w:eastAsia="en-GB"/>
      </w:rPr>
      <w:drawing>
        <wp:anchor distT="0" distB="0" distL="114300" distR="114300" simplePos="0" relativeHeight="251657728" behindDoc="0" locked="0" layoutInCell="1" allowOverlap="1">
          <wp:simplePos x="0" y="0"/>
          <wp:positionH relativeFrom="column">
            <wp:posOffset>5442585</wp:posOffset>
          </wp:positionH>
          <wp:positionV relativeFrom="paragraph">
            <wp:posOffset>118745</wp:posOffset>
          </wp:positionV>
          <wp:extent cx="518160" cy="340995"/>
          <wp:effectExtent l="19050" t="0" r="0" b="0"/>
          <wp:wrapNone/>
          <wp:docPr id="3" name="Picture 1"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srcRect/>
                  <a:stretch>
                    <a:fillRect/>
                  </a:stretch>
                </pic:blipFill>
                <pic:spPr bwMode="auto">
                  <a:xfrm>
                    <a:off x="0" y="0"/>
                    <a:ext cx="518160" cy="340995"/>
                  </a:xfrm>
                  <a:prstGeom prst="rect">
                    <a:avLst/>
                  </a:prstGeom>
                  <a:noFill/>
                  <a:ln w="9525">
                    <a:noFill/>
                    <a:miter lim="800000"/>
                    <a:headEnd/>
                    <a:tailEnd/>
                  </a:ln>
                </pic:spPr>
              </pic:pic>
            </a:graphicData>
          </a:graphic>
        </wp:anchor>
      </w:drawing>
    </w:r>
  </w:p>
  <w:p w:rsidR="002253CC" w:rsidRPr="008F5DB5" w:rsidRDefault="002253CC" w:rsidP="005B69F4">
    <w:pPr>
      <w:pStyle w:val="Title"/>
      <w:ind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brand</w:t>
    </w:r>
    <w:r w:rsidRPr="008F5DB5">
      <w:rPr>
        <w:rFonts w:ascii="Arial" w:hAnsi="Arial" w:cs="Arial"/>
        <w:sz w:val="18"/>
        <w:szCs w:val="18"/>
      </w:rPr>
      <w:t xml:space="preserve"> name for the NHS National Waiting Times Centre</w:t>
    </w:r>
    <w:r>
      <w:rPr>
        <w:rFonts w:ascii="Arial" w:hAnsi="Arial" w:cs="Arial"/>
        <w:sz w:val="18"/>
        <w:szCs w:val="18"/>
      </w:rPr>
      <w:t>.</w:t>
    </w:r>
  </w:p>
  <w:p w:rsidR="002253CC" w:rsidRPr="005B69F4" w:rsidRDefault="002253CC" w:rsidP="005B69F4">
    <w:pPr>
      <w:pStyle w:val="Title"/>
      <w:ind w:right="184"/>
      <w:jc w:val="left"/>
      <w:outlineLvl w:val="0"/>
      <w:rPr>
        <w:rFonts w:ascii="Arial" w:hAnsi="Arial" w:cs="Arial"/>
        <w:sz w:val="18"/>
        <w:szCs w:val="18"/>
      </w:rPr>
    </w:pPr>
    <w:r>
      <w:rPr>
        <w:rFonts w:ascii="Arial" w:hAnsi="Arial" w:cs="Arial"/>
        <w:sz w:val="18"/>
        <w:szCs w:val="18"/>
      </w:rPr>
      <w:t>Golden Jubilee National Hospital Charity Number: SC045146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599" w:rsidRDefault="00736599">
      <w:r>
        <w:separator/>
      </w:r>
    </w:p>
  </w:footnote>
  <w:footnote w:type="continuationSeparator" w:id="0">
    <w:p w:rsidR="00736599" w:rsidRDefault="007365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3CC" w:rsidRPr="00CF6461" w:rsidRDefault="002253CC" w:rsidP="00CF6461">
    <w:pPr>
      <w:pStyle w:val="Header"/>
      <w:jc w:val="right"/>
      <w:rPr>
        <w:rFonts w:ascii="Arial" w:hAnsi="Arial" w:cs="Arial"/>
        <w:b/>
        <w:color w:val="0070C0"/>
        <w:sz w:val="28"/>
        <w:szCs w:val="28"/>
      </w:rPr>
    </w:pPr>
    <w:r>
      <w:rPr>
        <w:rFonts w:ascii="Arial" w:hAnsi="Arial" w:cs="Arial"/>
        <w:b/>
        <w:color w:val="0070C0"/>
        <w:sz w:val="28"/>
        <w:szCs w:val="28"/>
      </w:rPr>
      <w:t xml:space="preserve">Item </w:t>
    </w:r>
    <w:r w:rsidR="00A35DCB">
      <w:rPr>
        <w:rFonts w:ascii="Arial" w:hAnsi="Arial" w:cs="Arial"/>
        <w:b/>
        <w:color w:val="0070C0"/>
        <w:sz w:val="28"/>
        <w:szCs w:val="28"/>
      </w:rPr>
      <w:t>7.2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nsid w:val="0D232B94"/>
    <w:multiLevelType w:val="hybridMultilevel"/>
    <w:tmpl w:val="EA66DD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C81DD6"/>
    <w:multiLevelType w:val="hybridMultilevel"/>
    <w:tmpl w:val="28FC99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11230A1"/>
    <w:multiLevelType w:val="hybridMultilevel"/>
    <w:tmpl w:val="A27E3C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4">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9EB7593"/>
    <w:multiLevelType w:val="hybridMultilevel"/>
    <w:tmpl w:val="0846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1B4035F"/>
    <w:multiLevelType w:val="hybridMultilevel"/>
    <w:tmpl w:val="20B41944"/>
    <w:lvl w:ilvl="0" w:tplc="D5C207B0">
      <w:start w:val="1"/>
      <w:numFmt w:val="decimal"/>
      <w:lvlText w:val="%1"/>
      <w:lvlJc w:val="left"/>
      <w:pPr>
        <w:tabs>
          <w:tab w:val="num" w:pos="1080"/>
        </w:tabs>
        <w:ind w:left="1080" w:hanging="720"/>
      </w:pPr>
      <w:rPr>
        <w:rFonts w:hint="default"/>
      </w:rPr>
    </w:lvl>
    <w:lvl w:ilvl="1" w:tplc="7EB44FFC">
      <w:start w:val="1"/>
      <w:numFmt w:val="bullet"/>
      <w:lvlText w:val=""/>
      <w:lvlJc w:val="left"/>
      <w:pPr>
        <w:tabs>
          <w:tab w:val="num" w:pos="796"/>
        </w:tabs>
        <w:ind w:left="1080" w:firstLine="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9"/>
  </w:num>
  <w:num w:numId="2">
    <w:abstractNumId w:val="22"/>
  </w:num>
  <w:num w:numId="3">
    <w:abstractNumId w:val="16"/>
  </w:num>
  <w:num w:numId="4">
    <w:abstractNumId w:val="1"/>
  </w:num>
  <w:num w:numId="5">
    <w:abstractNumId w:val="4"/>
  </w:num>
  <w:num w:numId="6">
    <w:abstractNumId w:val="13"/>
  </w:num>
  <w:num w:numId="7">
    <w:abstractNumId w:val="21"/>
  </w:num>
  <w:num w:numId="8">
    <w:abstractNumId w:val="0"/>
  </w:num>
  <w:num w:numId="9">
    <w:abstractNumId w:val="20"/>
  </w:num>
  <w:num w:numId="10">
    <w:abstractNumId w:val="11"/>
  </w:num>
  <w:num w:numId="11">
    <w:abstractNumId w:val="9"/>
  </w:num>
  <w:num w:numId="12">
    <w:abstractNumId w:val="17"/>
  </w:num>
  <w:num w:numId="13">
    <w:abstractNumId w:val="6"/>
  </w:num>
  <w:num w:numId="14">
    <w:abstractNumId w:val="5"/>
  </w:num>
  <w:num w:numId="15">
    <w:abstractNumId w:val="12"/>
  </w:num>
  <w:num w:numId="16">
    <w:abstractNumId w:val="8"/>
  </w:num>
  <w:num w:numId="17">
    <w:abstractNumId w:val="14"/>
  </w:num>
  <w:num w:numId="18">
    <w:abstractNumId w:val="2"/>
  </w:num>
  <w:num w:numId="19">
    <w:abstractNumId w:val="18"/>
  </w:num>
  <w:num w:numId="20">
    <w:abstractNumId w:val="7"/>
  </w:num>
  <w:num w:numId="21">
    <w:abstractNumId w:val="3"/>
  </w:num>
  <w:num w:numId="22">
    <w:abstractNumId w:val="15"/>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rsids>
    <w:rsidRoot w:val="00A2577B"/>
    <w:rsid w:val="0002036A"/>
    <w:rsid w:val="00061CDE"/>
    <w:rsid w:val="00075AAA"/>
    <w:rsid w:val="00097EAE"/>
    <w:rsid w:val="000B46D3"/>
    <w:rsid w:val="000B5923"/>
    <w:rsid w:val="000D0952"/>
    <w:rsid w:val="000E41C1"/>
    <w:rsid w:val="00115F97"/>
    <w:rsid w:val="001175E5"/>
    <w:rsid w:val="00197A79"/>
    <w:rsid w:val="002253CC"/>
    <w:rsid w:val="00237CBD"/>
    <w:rsid w:val="002A42DD"/>
    <w:rsid w:val="0031078B"/>
    <w:rsid w:val="003D03FE"/>
    <w:rsid w:val="003E423D"/>
    <w:rsid w:val="003F19CA"/>
    <w:rsid w:val="004512CE"/>
    <w:rsid w:val="00462756"/>
    <w:rsid w:val="00513AB1"/>
    <w:rsid w:val="00513DB0"/>
    <w:rsid w:val="005239DB"/>
    <w:rsid w:val="00526532"/>
    <w:rsid w:val="005B4BA8"/>
    <w:rsid w:val="005B69F4"/>
    <w:rsid w:val="005F02B7"/>
    <w:rsid w:val="0060634D"/>
    <w:rsid w:val="00621889"/>
    <w:rsid w:val="006500AB"/>
    <w:rsid w:val="00661EF1"/>
    <w:rsid w:val="006734E4"/>
    <w:rsid w:val="006A1357"/>
    <w:rsid w:val="006D6F99"/>
    <w:rsid w:val="00711E7A"/>
    <w:rsid w:val="00736599"/>
    <w:rsid w:val="0074139D"/>
    <w:rsid w:val="007B4090"/>
    <w:rsid w:val="00812CBD"/>
    <w:rsid w:val="00815350"/>
    <w:rsid w:val="00825B2D"/>
    <w:rsid w:val="00844E0E"/>
    <w:rsid w:val="008A07AE"/>
    <w:rsid w:val="008B23D9"/>
    <w:rsid w:val="008C26A2"/>
    <w:rsid w:val="008F1C02"/>
    <w:rsid w:val="0093700B"/>
    <w:rsid w:val="00937BE5"/>
    <w:rsid w:val="009742FA"/>
    <w:rsid w:val="00974594"/>
    <w:rsid w:val="00993155"/>
    <w:rsid w:val="009E6A39"/>
    <w:rsid w:val="00A1083C"/>
    <w:rsid w:val="00A2536A"/>
    <w:rsid w:val="00A2577B"/>
    <w:rsid w:val="00A3124D"/>
    <w:rsid w:val="00A35DCB"/>
    <w:rsid w:val="00A560AF"/>
    <w:rsid w:val="00B0525B"/>
    <w:rsid w:val="00B51918"/>
    <w:rsid w:val="00B5719A"/>
    <w:rsid w:val="00BC668C"/>
    <w:rsid w:val="00BF3405"/>
    <w:rsid w:val="00C0017D"/>
    <w:rsid w:val="00C24B4E"/>
    <w:rsid w:val="00C3138D"/>
    <w:rsid w:val="00C36974"/>
    <w:rsid w:val="00C956E2"/>
    <w:rsid w:val="00CA6DDF"/>
    <w:rsid w:val="00CE4B72"/>
    <w:rsid w:val="00CF6461"/>
    <w:rsid w:val="00D05F2C"/>
    <w:rsid w:val="00D306B6"/>
    <w:rsid w:val="00D92AA6"/>
    <w:rsid w:val="00DD7115"/>
    <w:rsid w:val="00DE5902"/>
    <w:rsid w:val="00E24BFC"/>
    <w:rsid w:val="00E95856"/>
    <w:rsid w:val="00EA4869"/>
    <w:rsid w:val="00EB7C07"/>
    <w:rsid w:val="00F12826"/>
    <w:rsid w:val="00F3515F"/>
    <w:rsid w:val="00F459C0"/>
    <w:rsid w:val="00F7206C"/>
    <w:rsid w:val="00FD5E76"/>
    <w:rsid w:val="00FE14F0"/>
    <w:rsid w:val="00FE3A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character" w:customStyle="1" w:styleId="Heading3Char">
    <w:name w:val="Heading 3 Char"/>
    <w:basedOn w:val="DefaultParagraphFont"/>
    <w:link w:val="Heading3"/>
    <w:rsid w:val="00237CBD"/>
    <w:rPr>
      <w:rFonts w:ascii="Arial" w:hAnsi="Arial" w:cs="Arial"/>
      <w:b/>
      <w:bCs/>
      <w:sz w:val="26"/>
      <w:szCs w:val="26"/>
      <w:lang w:eastAsia="en-US"/>
    </w:rPr>
  </w:style>
  <w:style w:type="character" w:customStyle="1" w:styleId="FooterChar">
    <w:name w:val="Footer Char"/>
    <w:basedOn w:val="DefaultParagraphFont"/>
    <w:link w:val="Footer"/>
    <w:rsid w:val="00237CBD"/>
    <w:rPr>
      <w:sz w:val="24"/>
      <w:szCs w:val="24"/>
      <w:lang w:eastAsia="en-US"/>
    </w:rPr>
  </w:style>
  <w:style w:type="character" w:customStyle="1" w:styleId="HeaderChar">
    <w:name w:val="Header Char"/>
    <w:basedOn w:val="DefaultParagraphFont"/>
    <w:link w:val="Header"/>
    <w:uiPriority w:val="99"/>
    <w:rsid w:val="00A35DCB"/>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nwtc-filesrv\users\rogersj\JSMYTH\JSMYTH\JUNE\Activity%20increase%202011-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view3D>
      <c:rAngAx val="1"/>
    </c:view3D>
    <c:sideWall>
      <c:spPr>
        <a:noFill/>
      </c:spPr>
    </c:sideWall>
    <c:backWall>
      <c:spPr>
        <a:noFill/>
      </c:spPr>
    </c:backWall>
    <c:plotArea>
      <c:layout/>
      <c:bar3DChart>
        <c:barDir val="col"/>
        <c:grouping val="clustered"/>
        <c:ser>
          <c:idx val="0"/>
          <c:order val="0"/>
          <c:tx>
            <c:strRef>
              <c:f>Sheet1!$B$2</c:f>
              <c:strCache>
                <c:ptCount val="1"/>
                <c:pt idx="0">
                  <c:v>IP/DC</c:v>
                </c:pt>
              </c:strCache>
            </c:strRef>
          </c:tx>
          <c:cat>
            <c:strRef>
              <c:f>Sheet1!$A$3:$A$10</c:f>
              <c:strCache>
                <c:ptCount val="8"/>
                <c:pt idx="0">
                  <c:v>2011-12</c:v>
                </c:pt>
                <c:pt idx="1">
                  <c:v>2012-13</c:v>
                </c:pt>
                <c:pt idx="2">
                  <c:v>2013-14</c:v>
                </c:pt>
                <c:pt idx="3">
                  <c:v>2014-15</c:v>
                </c:pt>
                <c:pt idx="4">
                  <c:v>2015-16</c:v>
                </c:pt>
                <c:pt idx="5">
                  <c:v>2016-17</c:v>
                </c:pt>
                <c:pt idx="6">
                  <c:v>2017-18</c:v>
                </c:pt>
                <c:pt idx="7">
                  <c:v>2018-19</c:v>
                </c:pt>
              </c:strCache>
            </c:strRef>
          </c:cat>
          <c:val>
            <c:numRef>
              <c:f>Sheet1!$B$3:$B$10</c:f>
              <c:numCache>
                <c:formatCode>General</c:formatCode>
                <c:ptCount val="8"/>
                <c:pt idx="0">
                  <c:v>6941</c:v>
                </c:pt>
                <c:pt idx="1">
                  <c:v>7858</c:v>
                </c:pt>
                <c:pt idx="2">
                  <c:v>9214</c:v>
                </c:pt>
                <c:pt idx="3">
                  <c:v>11537</c:v>
                </c:pt>
                <c:pt idx="4">
                  <c:v>13334</c:v>
                </c:pt>
                <c:pt idx="5">
                  <c:v>14981</c:v>
                </c:pt>
                <c:pt idx="6">
                  <c:v>15690</c:v>
                </c:pt>
                <c:pt idx="7">
                  <c:v>17320</c:v>
                </c:pt>
              </c:numCache>
            </c:numRef>
          </c:val>
        </c:ser>
        <c:ser>
          <c:idx val="1"/>
          <c:order val="1"/>
          <c:tx>
            <c:strRef>
              <c:f>Sheet1!$C$2</c:f>
              <c:strCache>
                <c:ptCount val="1"/>
                <c:pt idx="0">
                  <c:v>Imaging</c:v>
                </c:pt>
              </c:strCache>
            </c:strRef>
          </c:tx>
          <c:cat>
            <c:strRef>
              <c:f>Sheet1!$A$3:$A$10</c:f>
              <c:strCache>
                <c:ptCount val="8"/>
                <c:pt idx="0">
                  <c:v>2011-12</c:v>
                </c:pt>
                <c:pt idx="1">
                  <c:v>2012-13</c:v>
                </c:pt>
                <c:pt idx="2">
                  <c:v>2013-14</c:v>
                </c:pt>
                <c:pt idx="3">
                  <c:v>2014-15</c:v>
                </c:pt>
                <c:pt idx="4">
                  <c:v>2015-16</c:v>
                </c:pt>
                <c:pt idx="5">
                  <c:v>2016-17</c:v>
                </c:pt>
                <c:pt idx="6">
                  <c:v>2017-18</c:v>
                </c:pt>
                <c:pt idx="7">
                  <c:v>2018-19</c:v>
                </c:pt>
              </c:strCache>
            </c:strRef>
          </c:cat>
          <c:val>
            <c:numRef>
              <c:f>Sheet1!$C$3:$C$10</c:f>
              <c:numCache>
                <c:formatCode>General</c:formatCode>
                <c:ptCount val="8"/>
                <c:pt idx="0">
                  <c:v>15071</c:v>
                </c:pt>
                <c:pt idx="1">
                  <c:v>16081</c:v>
                </c:pt>
                <c:pt idx="2">
                  <c:v>17761</c:v>
                </c:pt>
                <c:pt idx="3">
                  <c:v>20475</c:v>
                </c:pt>
                <c:pt idx="4">
                  <c:v>22681</c:v>
                </c:pt>
                <c:pt idx="5">
                  <c:v>25948</c:v>
                </c:pt>
                <c:pt idx="6">
                  <c:v>29850</c:v>
                </c:pt>
                <c:pt idx="7">
                  <c:v>35275</c:v>
                </c:pt>
              </c:numCache>
            </c:numRef>
          </c:val>
        </c:ser>
        <c:ser>
          <c:idx val="2"/>
          <c:order val="2"/>
          <c:tx>
            <c:strRef>
              <c:f>Sheet1!$D$2</c:f>
              <c:strCache>
                <c:ptCount val="1"/>
                <c:pt idx="0">
                  <c:v>Total</c:v>
                </c:pt>
              </c:strCache>
            </c:strRef>
          </c:tx>
          <c:cat>
            <c:strRef>
              <c:f>Sheet1!$A$3:$A$10</c:f>
              <c:strCache>
                <c:ptCount val="8"/>
                <c:pt idx="0">
                  <c:v>2011-12</c:v>
                </c:pt>
                <c:pt idx="1">
                  <c:v>2012-13</c:v>
                </c:pt>
                <c:pt idx="2">
                  <c:v>2013-14</c:v>
                </c:pt>
                <c:pt idx="3">
                  <c:v>2014-15</c:v>
                </c:pt>
                <c:pt idx="4">
                  <c:v>2015-16</c:v>
                </c:pt>
                <c:pt idx="5">
                  <c:v>2016-17</c:v>
                </c:pt>
                <c:pt idx="6">
                  <c:v>2017-18</c:v>
                </c:pt>
                <c:pt idx="7">
                  <c:v>2018-19</c:v>
                </c:pt>
              </c:strCache>
            </c:strRef>
          </c:cat>
          <c:val>
            <c:numRef>
              <c:f>Sheet1!$D$3:$D$10</c:f>
              <c:numCache>
                <c:formatCode>General</c:formatCode>
                <c:ptCount val="8"/>
                <c:pt idx="0">
                  <c:v>22012</c:v>
                </c:pt>
                <c:pt idx="1">
                  <c:v>23939</c:v>
                </c:pt>
                <c:pt idx="2">
                  <c:v>26975</c:v>
                </c:pt>
                <c:pt idx="3">
                  <c:v>32012</c:v>
                </c:pt>
                <c:pt idx="4">
                  <c:v>36015</c:v>
                </c:pt>
                <c:pt idx="5">
                  <c:v>37871</c:v>
                </c:pt>
                <c:pt idx="6">
                  <c:v>45540</c:v>
                </c:pt>
                <c:pt idx="7">
                  <c:v>52595</c:v>
                </c:pt>
              </c:numCache>
            </c:numRef>
          </c:val>
        </c:ser>
        <c:shape val="box"/>
        <c:axId val="176839296"/>
        <c:axId val="176861568"/>
        <c:axId val="0"/>
      </c:bar3DChart>
      <c:catAx>
        <c:axId val="176839296"/>
        <c:scaling>
          <c:orientation val="minMax"/>
        </c:scaling>
        <c:axPos val="b"/>
        <c:tickLblPos val="nextTo"/>
        <c:crossAx val="176861568"/>
        <c:crosses val="autoZero"/>
        <c:auto val="1"/>
        <c:lblAlgn val="ctr"/>
        <c:lblOffset val="100"/>
      </c:catAx>
      <c:valAx>
        <c:axId val="176861568"/>
        <c:scaling>
          <c:orientation val="minMax"/>
        </c:scaling>
        <c:axPos val="l"/>
        <c:majorGridlines/>
        <c:numFmt formatCode="General" sourceLinked="1"/>
        <c:tickLblPos val="nextTo"/>
        <c:crossAx val="176839296"/>
        <c:crosses val="autoZero"/>
        <c:crossBetween val="between"/>
      </c:valAx>
    </c:plotArea>
    <c:legend>
      <c:legendPos val="r"/>
      <c:layout>
        <c:manualLayout>
          <c:xMode val="edge"/>
          <c:yMode val="edge"/>
          <c:x val="0.86073933686329041"/>
          <c:y val="0.39980640717782734"/>
          <c:w val="0.1197987840922894"/>
          <c:h val="0.20038689478974703"/>
        </c:manualLayout>
      </c:layout>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962A58-0676-4583-8330-61FA157E3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7649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scotts2</cp:lastModifiedBy>
  <cp:revision>3</cp:revision>
  <dcterms:created xsi:type="dcterms:W3CDTF">2019-04-30T10:58:00Z</dcterms:created>
  <dcterms:modified xsi:type="dcterms:W3CDTF">2019-05-01T13:20:00Z</dcterms:modified>
</cp:coreProperties>
</file>