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4814"/>
        <w:gridCol w:w="1985"/>
      </w:tblGrid>
      <w:tr w:rsidR="005B4BA8" w:rsidRPr="005B4BA8" w:rsidTr="005B4BA8">
        <w:trPr>
          <w:trHeight w:val="557"/>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C1616F" w:rsidP="00F84D27">
            <w:pPr>
              <w:pStyle w:val="Heading1"/>
              <w:spacing w:before="60" w:after="60"/>
              <w:ind w:right="183"/>
              <w:contextualSpacing/>
              <w:rPr>
                <w:rFonts w:ascii="Arial" w:hAnsi="Arial" w:cs="Arial"/>
                <w:b w:val="0"/>
                <w:sz w:val="24"/>
                <w:szCs w:val="24"/>
              </w:rPr>
            </w:pPr>
            <w:r>
              <w:rPr>
                <w:rFonts w:ascii="Arial" w:hAnsi="Arial" w:cs="Arial"/>
                <w:b w:val="0"/>
                <w:sz w:val="24"/>
                <w:szCs w:val="24"/>
              </w:rPr>
              <w:t xml:space="preserve">20 </w:t>
            </w:r>
            <w:r w:rsidR="009E4A2F">
              <w:rPr>
                <w:rFonts w:ascii="Arial" w:hAnsi="Arial" w:cs="Arial"/>
                <w:b w:val="0"/>
                <w:sz w:val="24"/>
                <w:szCs w:val="24"/>
              </w:rPr>
              <w:t>June</w:t>
            </w:r>
            <w:r w:rsidR="00E40B0D">
              <w:rPr>
                <w:rFonts w:ascii="Arial" w:hAnsi="Arial" w:cs="Arial"/>
                <w:b w:val="0"/>
                <w:sz w:val="24"/>
                <w:szCs w:val="24"/>
              </w:rPr>
              <w:t xml:space="preserve"> </w:t>
            </w:r>
            <w:r w:rsidR="00DF0CAB">
              <w:rPr>
                <w:rFonts w:ascii="Arial" w:hAnsi="Arial" w:cs="Arial"/>
                <w:b w:val="0"/>
                <w:sz w:val="24"/>
                <w:szCs w:val="24"/>
              </w:rPr>
              <w:t>2019</w:t>
            </w:r>
          </w:p>
        </w:tc>
        <w:tc>
          <w:tcPr>
            <w:tcW w:w="1985" w:type="dxa"/>
            <w:vMerge w:val="restart"/>
          </w:tcPr>
          <w:p w:rsidR="005B4BA8" w:rsidRPr="005B4BA8" w:rsidRDefault="00444F91" w:rsidP="005B4BA8">
            <w:pPr>
              <w:pStyle w:val="Heading1"/>
              <w:spacing w:before="60" w:after="60"/>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23315" cy="468630"/>
                  <wp:effectExtent l="19050" t="0" r="635" b="0"/>
                  <wp:docPr id="2" name="Picture 1"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123315" cy="468630"/>
                          </a:xfrm>
                          <a:prstGeom prst="rect">
                            <a:avLst/>
                          </a:prstGeom>
                        </pic:spPr>
                      </pic:pic>
                    </a:graphicData>
                  </a:graphic>
                </wp:inline>
              </w:drawing>
            </w:r>
          </w:p>
        </w:tc>
      </w:tr>
      <w:tr w:rsidR="005B4BA8" w:rsidRPr="005B4BA8" w:rsidTr="005B4BA8">
        <w:trPr>
          <w:trHeight w:val="1091"/>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F84D27" w:rsidRDefault="00413299" w:rsidP="00413299">
            <w:pPr>
              <w:ind w:left="2880" w:right="183" w:hanging="2880"/>
              <w:rPr>
                <w:rFonts w:ascii="Arial" w:hAnsi="Arial" w:cs="Arial"/>
                <w:bCs/>
              </w:rPr>
            </w:pPr>
            <w:r>
              <w:rPr>
                <w:rFonts w:ascii="Arial" w:hAnsi="Arial" w:cs="Arial"/>
                <w:bCs/>
              </w:rPr>
              <w:t xml:space="preserve">Healthcare Associated </w:t>
            </w:r>
          </w:p>
          <w:p w:rsidR="00F84D27" w:rsidRDefault="00413299" w:rsidP="00413299">
            <w:pPr>
              <w:ind w:left="2880" w:right="183" w:hanging="2880"/>
              <w:rPr>
                <w:rFonts w:ascii="Arial" w:hAnsi="Arial" w:cs="Arial"/>
                <w:bCs/>
              </w:rPr>
            </w:pPr>
            <w:r>
              <w:rPr>
                <w:rFonts w:ascii="Arial" w:hAnsi="Arial" w:cs="Arial"/>
                <w:bCs/>
              </w:rPr>
              <w:t>Infection Reporting Template</w:t>
            </w:r>
          </w:p>
          <w:p w:rsidR="00413299" w:rsidRDefault="00413299" w:rsidP="00413299">
            <w:pPr>
              <w:ind w:left="2880" w:right="183" w:hanging="2880"/>
              <w:rPr>
                <w:rFonts w:ascii="Arial" w:hAnsi="Arial" w:cs="Arial"/>
              </w:rPr>
            </w:pPr>
            <w:r>
              <w:rPr>
                <w:rFonts w:ascii="Arial" w:hAnsi="Arial" w:cs="Arial"/>
                <w:bCs/>
              </w:rPr>
              <w:t xml:space="preserve">(HAIRT) </w:t>
            </w:r>
            <w:r w:rsidR="009E4A2F">
              <w:rPr>
                <w:rFonts w:ascii="Arial" w:hAnsi="Arial" w:cs="Arial"/>
                <w:bCs/>
              </w:rPr>
              <w:t>April</w:t>
            </w:r>
            <w:r w:rsidR="00E40B0D">
              <w:rPr>
                <w:rFonts w:ascii="Arial" w:hAnsi="Arial" w:cs="Arial"/>
                <w:bCs/>
              </w:rPr>
              <w:t xml:space="preserve"> 2019</w:t>
            </w:r>
            <w:r>
              <w:rPr>
                <w:rFonts w:ascii="Arial" w:hAnsi="Arial" w:cs="Arial"/>
                <w:bCs/>
              </w:rPr>
              <w:t xml:space="preserve"> data.</w:t>
            </w:r>
          </w:p>
          <w:p w:rsidR="005B4BA8" w:rsidRPr="005B4BA8" w:rsidRDefault="005B4BA8" w:rsidP="005B4BA8">
            <w:pPr>
              <w:pStyle w:val="Heading1"/>
              <w:spacing w:before="60" w:after="60"/>
              <w:ind w:right="183"/>
              <w:contextualSpacing/>
              <w:rPr>
                <w:rFonts w:ascii="Arial" w:hAnsi="Arial" w:cs="Arial"/>
                <w:b w:val="0"/>
                <w:sz w:val="24"/>
                <w:szCs w:val="24"/>
              </w:rPr>
            </w:pPr>
          </w:p>
        </w:tc>
        <w:tc>
          <w:tcPr>
            <w:tcW w:w="1985" w:type="dxa"/>
            <w:vMerge/>
          </w:tcPr>
          <w:p w:rsidR="005B4BA8" w:rsidRPr="005B4BA8" w:rsidRDefault="005B4BA8" w:rsidP="005B4BA8">
            <w:pPr>
              <w:pStyle w:val="Heading1"/>
              <w:spacing w:before="60" w:after="60"/>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413299" w:rsidRDefault="00413299" w:rsidP="00413299">
            <w:pPr>
              <w:ind w:left="2880" w:right="183" w:hanging="2880"/>
              <w:rPr>
                <w:rFonts w:ascii="Arial" w:hAnsi="Arial" w:cs="Arial"/>
              </w:rPr>
            </w:pPr>
            <w:r>
              <w:rPr>
                <w:rFonts w:ascii="Arial" w:hAnsi="Arial" w:cs="Arial"/>
              </w:rPr>
              <w:t xml:space="preserve">Board members are asked to </w:t>
            </w:r>
          </w:p>
          <w:p w:rsidR="00413299" w:rsidRPr="00A95C4C" w:rsidRDefault="00413299" w:rsidP="00413299">
            <w:pPr>
              <w:ind w:left="1985" w:hanging="2880"/>
              <w:rPr>
                <w:rFonts w:ascii="Arial" w:hAnsi="Arial" w:cs="Arial"/>
              </w:rPr>
            </w:pPr>
            <w:r>
              <w:rPr>
                <w:rFonts w:ascii="Arial" w:hAnsi="Arial" w:cs="Arial"/>
                <w:b/>
                <w:bCs/>
              </w:rPr>
              <w:t xml:space="preserve">     </w:t>
            </w:r>
          </w:p>
          <w:p w:rsidR="005B4BA8" w:rsidRPr="005B4BA8"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413299" w:rsidP="005B4BA8">
                  <w:pPr>
                    <w:spacing w:before="120" w:after="60"/>
                    <w:contextualSpacing/>
                  </w:pPr>
                  <w:r>
                    <w:rPr>
                      <w:snapToGrid w:val="0"/>
                      <w:color w:val="000000"/>
                      <w:w w:val="0"/>
                      <w:sz w:val="0"/>
                      <w:szCs w:val="0"/>
                      <w:u w:color="000000"/>
                      <w:bdr w:val="none" w:sz="0" w:space="0" w:color="000000"/>
                      <w:shd w:val="clear" w:color="000000" w:fill="000000"/>
                    </w:rPr>
                    <w:t xml:space="preserve"> </w:t>
                  </w:r>
                  <w:r>
                    <w:rPr>
                      <w:noProof/>
                      <w:lang w:eastAsia="en-GB"/>
                    </w:rPr>
                    <w:drawing>
                      <wp:inline distT="0" distB="0" distL="0" distR="0">
                        <wp:extent cx="152400" cy="174643"/>
                        <wp:effectExtent l="19050" t="0" r="0" b="0"/>
                        <wp:docPr id="1" name="Picture 1" descr="C:\Users\coxg1\AppData\Local\Microsoft\Windows\Temporary Internet Files\Content.IE5\IOM1Q1KB\Kliponious-green-ti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xg1\AppData\Local\Microsoft\Windows\Temporary Internet Files\Content.IE5\IOM1Q1KB\Kliponious-green-tick[1].png"/>
                                <pic:cNvPicPr>
                                  <a:picLocks noChangeAspect="1" noChangeArrowheads="1"/>
                                </pic:cNvPicPr>
                              </pic:nvPicPr>
                              <pic:blipFill>
                                <a:blip r:embed="rId9" cstate="print"/>
                                <a:srcRect/>
                                <a:stretch>
                                  <a:fillRect/>
                                </a:stretch>
                              </pic:blipFill>
                              <pic:spPr bwMode="auto">
                                <a:xfrm>
                                  <a:off x="0" y="0"/>
                                  <a:ext cx="156102" cy="178885"/>
                                </a:xfrm>
                                <a:prstGeom prst="rect">
                                  <a:avLst/>
                                </a:prstGeom>
                                <a:noFill/>
                                <a:ln w="9525">
                                  <a:noFill/>
                                  <a:miter lim="800000"/>
                                  <a:headEnd/>
                                  <a:tailEnd/>
                                </a:ln>
                              </pic:spPr>
                            </pic:pic>
                          </a:graphicData>
                        </a:graphic>
                      </wp:inline>
                    </w:drawing>
                  </w:r>
                </w:p>
              </w:tc>
            </w:tr>
            <w:tr w:rsidR="005B4BA8" w:rsidTr="007B4090">
              <w:tc>
                <w:tcPr>
                  <w:tcW w:w="5694" w:type="dxa"/>
                </w:tcPr>
                <w:p w:rsidR="005B4BA8" w:rsidRPr="007D047D" w:rsidRDefault="002253CC"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5B4BA8" w:rsidP="005B4BA8">
                  <w:pPr>
                    <w:spacing w:before="120" w:after="60"/>
                    <w:contextualSpacing/>
                  </w:pPr>
                </w:p>
              </w:tc>
            </w:tr>
          </w:tbl>
          <w:p w:rsidR="005B4BA8" w:rsidRPr="0073139D" w:rsidRDefault="005B4BA8" w:rsidP="005B4BA8">
            <w:pPr>
              <w:spacing w:before="120" w:after="60"/>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5239DB" w:rsidRDefault="005239DB" w:rsidP="005239DB">
      <w:pPr>
        <w:pStyle w:val="Heading2"/>
        <w:ind w:right="183"/>
        <w:rPr>
          <w:i w:val="0"/>
          <w:sz w:val="24"/>
          <w:szCs w:val="24"/>
        </w:rPr>
      </w:pPr>
      <w:r w:rsidRPr="001175E5">
        <w:rPr>
          <w:i w:val="0"/>
          <w:sz w:val="24"/>
          <w:szCs w:val="24"/>
        </w:rPr>
        <w:t>1</w:t>
      </w:r>
      <w:r w:rsidRPr="001175E5">
        <w:rPr>
          <w:i w:val="0"/>
          <w:sz w:val="24"/>
          <w:szCs w:val="24"/>
        </w:rPr>
        <w:tab/>
        <w:t>Background</w:t>
      </w:r>
    </w:p>
    <w:p w:rsidR="00413299" w:rsidRDefault="00413299" w:rsidP="00413299">
      <w:pPr>
        <w:ind w:left="720"/>
        <w:rPr>
          <w:rFonts w:ascii="Arial" w:hAnsi="Arial" w:cs="Arial"/>
        </w:rPr>
      </w:pPr>
    </w:p>
    <w:p w:rsidR="00413299" w:rsidRPr="000F6811" w:rsidRDefault="00413299" w:rsidP="00413299">
      <w:pPr>
        <w:ind w:left="720"/>
        <w:rPr>
          <w:rFonts w:ascii="Arial" w:hAnsi="Arial" w:cs="Arial"/>
        </w:rPr>
      </w:pPr>
      <w:r w:rsidRPr="000F6811">
        <w:rPr>
          <w:rFonts w:ascii="Arial" w:hAnsi="Arial" w:cs="Arial"/>
        </w:rPr>
        <w:t xml:space="preserve">This paper is presented as advised by the Scottish Government </w:t>
      </w:r>
      <w:r>
        <w:rPr>
          <w:rFonts w:ascii="Arial" w:hAnsi="Arial" w:cs="Arial"/>
          <w:bCs/>
        </w:rPr>
        <w:t>Healthcare Associated Infection (</w:t>
      </w:r>
      <w:r w:rsidRPr="000F6811">
        <w:rPr>
          <w:rFonts w:ascii="Arial" w:hAnsi="Arial" w:cs="Arial"/>
        </w:rPr>
        <w:t>HAI</w:t>
      </w:r>
      <w:r>
        <w:rPr>
          <w:rFonts w:ascii="Arial" w:hAnsi="Arial" w:cs="Arial"/>
        </w:rPr>
        <w:t>)</w:t>
      </w:r>
      <w:r w:rsidRPr="000F6811">
        <w:rPr>
          <w:rFonts w:ascii="Arial" w:hAnsi="Arial" w:cs="Arial"/>
        </w:rPr>
        <w:t xml:space="preserve"> Task Force and informs the </w:t>
      </w:r>
      <w:r>
        <w:rPr>
          <w:rFonts w:ascii="Arial" w:hAnsi="Arial" w:cs="Arial"/>
        </w:rPr>
        <w:t>Golden Jubilee Foundation</w:t>
      </w:r>
      <w:r w:rsidRPr="000F6811">
        <w:rPr>
          <w:rFonts w:ascii="Arial" w:hAnsi="Arial" w:cs="Arial"/>
        </w:rPr>
        <w:t xml:space="preserve"> </w:t>
      </w:r>
      <w:r>
        <w:rPr>
          <w:rFonts w:ascii="Arial" w:hAnsi="Arial" w:cs="Arial"/>
        </w:rPr>
        <w:t xml:space="preserve">(GJF) </w:t>
      </w:r>
      <w:r w:rsidRPr="000F6811">
        <w:rPr>
          <w:rFonts w:ascii="Arial" w:hAnsi="Arial" w:cs="Arial"/>
        </w:rPr>
        <w:t xml:space="preserve">Board of activity around key Infection Control issues including bacteraemia, healthcare acquired Meticillin Resistant Staphylococcus </w:t>
      </w:r>
      <w:r>
        <w:rPr>
          <w:rFonts w:ascii="Arial" w:hAnsi="Arial" w:cs="Arial"/>
        </w:rPr>
        <w:t>A</w:t>
      </w:r>
      <w:r w:rsidRPr="000F6811">
        <w:rPr>
          <w:rFonts w:ascii="Arial" w:hAnsi="Arial" w:cs="Arial"/>
        </w:rPr>
        <w:t xml:space="preserve">ureus (MRSA), Clostridium </w:t>
      </w:r>
      <w:r>
        <w:rPr>
          <w:rFonts w:ascii="Arial" w:hAnsi="Arial" w:cs="Arial"/>
        </w:rPr>
        <w:t>D</w:t>
      </w:r>
      <w:r w:rsidRPr="000F6811">
        <w:rPr>
          <w:rFonts w:ascii="Arial" w:hAnsi="Arial" w:cs="Arial"/>
        </w:rPr>
        <w:t xml:space="preserve">ifficile </w:t>
      </w:r>
      <w:r>
        <w:rPr>
          <w:rFonts w:ascii="Arial" w:hAnsi="Arial" w:cs="Arial"/>
        </w:rPr>
        <w:t>I</w:t>
      </w:r>
      <w:r w:rsidRPr="000F6811">
        <w:rPr>
          <w:rFonts w:ascii="Arial" w:hAnsi="Arial" w:cs="Arial"/>
        </w:rPr>
        <w:t>nfection (CDI) and Surgical Site Infection (SSI) rates.</w:t>
      </w:r>
    </w:p>
    <w:p w:rsidR="00413299" w:rsidRPr="000F6811" w:rsidRDefault="00413299" w:rsidP="00413299">
      <w:pPr>
        <w:ind w:left="720"/>
        <w:rPr>
          <w:rFonts w:ascii="Arial" w:hAnsi="Arial" w:cs="Arial"/>
        </w:rPr>
      </w:pPr>
    </w:p>
    <w:p w:rsidR="00413299" w:rsidRDefault="00413299" w:rsidP="00413299">
      <w:pPr>
        <w:ind w:left="720"/>
        <w:rPr>
          <w:rFonts w:ascii="Arial" w:hAnsi="Arial" w:cs="Arial"/>
        </w:rPr>
      </w:pPr>
      <w:r>
        <w:rPr>
          <w:rFonts w:ascii="Arial" w:hAnsi="Arial" w:cs="Arial"/>
        </w:rPr>
        <w:t xml:space="preserve">GJF </w:t>
      </w:r>
      <w:r w:rsidRPr="000F6811">
        <w:rPr>
          <w:rFonts w:ascii="Arial" w:hAnsi="Arial" w:cs="Arial"/>
        </w:rPr>
        <w:t xml:space="preserve">has systems in place to monitor key delivery areas and to give early indication if problems should arise. The Prevention and Control of Infection Team (PCIT) provides key data to each unit monthly, detailing bacteraemia, HAI MRSA, SSI and </w:t>
      </w:r>
      <w:r>
        <w:rPr>
          <w:rFonts w:ascii="Arial" w:hAnsi="Arial" w:cs="Arial"/>
        </w:rPr>
        <w:t>CDI rates.</w:t>
      </w:r>
    </w:p>
    <w:p w:rsidR="00B82278" w:rsidRDefault="00B82278" w:rsidP="00413299">
      <w:pPr>
        <w:ind w:left="720"/>
        <w:rPr>
          <w:rFonts w:ascii="Arial" w:hAnsi="Arial" w:cs="Arial"/>
        </w:rPr>
      </w:pPr>
    </w:p>
    <w:p w:rsidR="00B82278" w:rsidRPr="001175E5" w:rsidRDefault="00B82278" w:rsidP="005239DB">
      <w:pPr>
        <w:ind w:left="540" w:right="183"/>
        <w:rPr>
          <w:rFonts w:ascii="Arial" w:hAnsi="Arial" w:cs="Arial"/>
          <w:b/>
          <w:bCs/>
        </w:rPr>
      </w:pPr>
    </w:p>
    <w:p w:rsidR="005239DB" w:rsidRDefault="009E4A2F" w:rsidP="005239DB">
      <w:pPr>
        <w:ind w:right="183"/>
        <w:rPr>
          <w:rFonts w:ascii="Arial" w:hAnsi="Arial" w:cs="Arial"/>
          <w:b/>
          <w:bCs/>
        </w:rPr>
      </w:pPr>
      <w:r>
        <w:rPr>
          <w:rFonts w:ascii="Arial" w:hAnsi="Arial" w:cs="Arial"/>
          <w:b/>
          <w:bCs/>
        </w:rPr>
        <w:t>2</w:t>
      </w:r>
      <w:r w:rsidR="001A6112">
        <w:rPr>
          <w:rFonts w:ascii="Arial" w:hAnsi="Arial" w:cs="Arial"/>
          <w:b/>
          <w:bCs/>
        </w:rPr>
        <w:t xml:space="preserve">         </w:t>
      </w:r>
      <w:r w:rsidR="005239DB" w:rsidRPr="001175E5">
        <w:rPr>
          <w:rFonts w:ascii="Arial" w:hAnsi="Arial" w:cs="Arial"/>
          <w:b/>
          <w:bCs/>
        </w:rPr>
        <w:t>Conclusion</w:t>
      </w:r>
      <w:r w:rsidR="005239DB">
        <w:rPr>
          <w:rFonts w:ascii="Arial" w:hAnsi="Arial" w:cs="Arial"/>
          <w:b/>
          <w:bCs/>
        </w:rPr>
        <w:t>/Recommendation</w:t>
      </w:r>
    </w:p>
    <w:p w:rsidR="00444F91" w:rsidRDefault="00444F91" w:rsidP="00413299">
      <w:pPr>
        <w:ind w:left="709" w:right="183"/>
        <w:rPr>
          <w:rFonts w:ascii="Arial" w:hAnsi="Arial" w:cs="Arial"/>
        </w:rPr>
      </w:pPr>
    </w:p>
    <w:p w:rsidR="00413299" w:rsidRPr="00A95C4C" w:rsidRDefault="00444F91" w:rsidP="00413299">
      <w:pPr>
        <w:ind w:left="709" w:right="183"/>
        <w:rPr>
          <w:rFonts w:ascii="Arial" w:hAnsi="Arial" w:cs="Arial"/>
        </w:rPr>
      </w:pPr>
      <w:r>
        <w:rPr>
          <w:rFonts w:ascii="Arial" w:hAnsi="Arial" w:cs="Arial"/>
        </w:rPr>
        <w:t>B</w:t>
      </w:r>
      <w:r w:rsidR="00413299">
        <w:rPr>
          <w:rFonts w:ascii="Arial" w:hAnsi="Arial" w:cs="Arial"/>
        </w:rPr>
        <w:t>oard members are asked to discuss a</w:t>
      </w:r>
      <w:r w:rsidR="00413299">
        <w:rPr>
          <w:rFonts w:ascii="Arial" w:hAnsi="Arial" w:cs="Arial"/>
          <w:bCs/>
        </w:rPr>
        <w:t xml:space="preserve">nd </w:t>
      </w:r>
      <w:r w:rsidR="00413299">
        <w:rPr>
          <w:rFonts w:ascii="Arial" w:hAnsi="Arial" w:cs="Arial"/>
        </w:rPr>
        <w:t xml:space="preserve">approve publication of the </w:t>
      </w:r>
      <w:r w:rsidR="009E4A2F">
        <w:rPr>
          <w:rFonts w:ascii="Arial" w:hAnsi="Arial" w:cs="Arial"/>
        </w:rPr>
        <w:t>April</w:t>
      </w:r>
      <w:r w:rsidR="00DF0CAB">
        <w:rPr>
          <w:rFonts w:ascii="Arial" w:hAnsi="Arial" w:cs="Arial"/>
        </w:rPr>
        <w:t xml:space="preserve"> </w:t>
      </w:r>
      <w:r w:rsidR="001A6112">
        <w:rPr>
          <w:rFonts w:ascii="Arial" w:hAnsi="Arial" w:cs="Arial"/>
        </w:rPr>
        <w:t>201</w:t>
      </w:r>
      <w:r w:rsidR="00E40B0D">
        <w:rPr>
          <w:rFonts w:ascii="Arial" w:hAnsi="Arial" w:cs="Arial"/>
        </w:rPr>
        <w:t>9</w:t>
      </w:r>
      <w:r w:rsidR="00413299">
        <w:rPr>
          <w:rFonts w:ascii="Arial" w:hAnsi="Arial" w:cs="Arial"/>
        </w:rPr>
        <w:t xml:space="preserve"> HAIRT report.</w:t>
      </w:r>
    </w:p>
    <w:p w:rsidR="00413299" w:rsidRPr="001175E5" w:rsidRDefault="00413299" w:rsidP="005239DB">
      <w:pPr>
        <w:ind w:right="183"/>
        <w:rPr>
          <w:rFonts w:ascii="Arial" w:hAnsi="Arial" w:cs="Arial"/>
          <w:b/>
          <w:bCs/>
        </w:rPr>
      </w:pPr>
    </w:p>
    <w:p w:rsidR="005239DB" w:rsidRPr="001175E5" w:rsidRDefault="005239DB" w:rsidP="005239DB">
      <w:pPr>
        <w:ind w:right="183"/>
        <w:rPr>
          <w:rFonts w:ascii="Arial" w:hAnsi="Arial" w:cs="Arial"/>
          <w:b/>
          <w:bCs/>
        </w:rPr>
      </w:pPr>
    </w:p>
    <w:p w:rsidR="005239DB" w:rsidRPr="00162874" w:rsidRDefault="005239DB" w:rsidP="005239DB">
      <w:pPr>
        <w:ind w:right="183"/>
        <w:rPr>
          <w:rFonts w:ascii="Arial" w:hAnsi="Arial" w:cs="Arial"/>
          <w:bCs/>
        </w:rPr>
      </w:pPr>
    </w:p>
    <w:p w:rsidR="00413299" w:rsidRPr="000F6811" w:rsidRDefault="00413299" w:rsidP="00413299">
      <w:pPr>
        <w:rPr>
          <w:rFonts w:ascii="Arial" w:hAnsi="Arial" w:cs="Arial"/>
          <w:b/>
          <w:bCs/>
        </w:rPr>
      </w:pPr>
      <w:r w:rsidRPr="000F6811">
        <w:rPr>
          <w:rFonts w:ascii="Arial" w:hAnsi="Arial" w:cs="Arial"/>
          <w:b/>
          <w:bCs/>
        </w:rPr>
        <w:t>Anne Marie Cavanagh</w:t>
      </w:r>
    </w:p>
    <w:p w:rsidR="00413299" w:rsidRPr="00C92710" w:rsidRDefault="00413299" w:rsidP="00413299">
      <w:pPr>
        <w:ind w:right="183"/>
        <w:rPr>
          <w:rFonts w:ascii="Arial" w:hAnsi="Arial" w:cs="Arial"/>
          <w:b/>
          <w:bCs/>
        </w:rPr>
      </w:pPr>
      <w:r>
        <w:rPr>
          <w:rFonts w:ascii="Arial" w:hAnsi="Arial" w:cs="Arial"/>
          <w:b/>
          <w:bCs/>
        </w:rPr>
        <w:t xml:space="preserve">Executive Nurse Director </w:t>
      </w:r>
    </w:p>
    <w:p w:rsidR="00413299" w:rsidRDefault="00444F91" w:rsidP="00413299">
      <w:pPr>
        <w:rPr>
          <w:rFonts w:ascii="Arial" w:hAnsi="Arial" w:cs="Arial"/>
          <w:b/>
          <w:bCs/>
        </w:rPr>
      </w:pPr>
      <w:r>
        <w:rPr>
          <w:rFonts w:ascii="Arial" w:hAnsi="Arial" w:cs="Arial"/>
          <w:b/>
          <w:bCs/>
        </w:rPr>
        <w:t>4 June 2019</w:t>
      </w:r>
    </w:p>
    <w:p w:rsidR="00413299" w:rsidRPr="000F6811" w:rsidRDefault="00413299" w:rsidP="00413299">
      <w:pPr>
        <w:rPr>
          <w:rFonts w:ascii="Arial" w:hAnsi="Arial" w:cs="Arial"/>
          <w:b/>
          <w:bCs/>
        </w:rPr>
      </w:pPr>
    </w:p>
    <w:p w:rsidR="00413299" w:rsidRPr="000F6811" w:rsidRDefault="00413299" w:rsidP="00413299">
      <w:r w:rsidRPr="000F6811">
        <w:rPr>
          <w:rFonts w:ascii="Arial" w:hAnsi="Arial" w:cs="Arial"/>
          <w:b/>
          <w:bCs/>
        </w:rPr>
        <w:t>(</w:t>
      </w:r>
      <w:r w:rsidR="00DF0CAB">
        <w:rPr>
          <w:rFonts w:ascii="Arial" w:hAnsi="Arial" w:cs="Arial"/>
          <w:b/>
        </w:rPr>
        <w:t>Heather Gourlay</w:t>
      </w:r>
      <w:r w:rsidRPr="000F6811">
        <w:rPr>
          <w:rFonts w:ascii="Arial" w:hAnsi="Arial" w:cs="Arial"/>
          <w:b/>
        </w:rPr>
        <w:t xml:space="preserve">, </w:t>
      </w:r>
      <w:r w:rsidR="00DF0CAB">
        <w:rPr>
          <w:rFonts w:ascii="Arial" w:hAnsi="Arial" w:cs="Arial"/>
          <w:b/>
        </w:rPr>
        <w:t>Senior</w:t>
      </w:r>
      <w:r w:rsidRPr="000F6811">
        <w:rPr>
          <w:rFonts w:ascii="Arial" w:hAnsi="Arial" w:cs="Arial"/>
          <w:b/>
        </w:rPr>
        <w:t xml:space="preserve"> Manager, Prevention and Control of Infection)</w:t>
      </w:r>
    </w:p>
    <w:p w:rsidR="005239DB" w:rsidRPr="00A17F79" w:rsidRDefault="005239DB" w:rsidP="00413299">
      <w:pPr>
        <w:ind w:right="183"/>
        <w:rPr>
          <w:rFonts w:ascii="Arial" w:hAnsi="Arial" w:cs="Arial"/>
          <w:bCs/>
        </w:rPr>
      </w:pPr>
    </w:p>
    <w:p w:rsidR="005239DB" w:rsidRDefault="005239DB" w:rsidP="00FE3A34">
      <w:pPr>
        <w:pStyle w:val="BodyTextIndent"/>
        <w:ind w:left="0" w:right="183" w:firstLine="0"/>
        <w:rPr>
          <w:rFonts w:ascii="Arial" w:hAnsi="Arial" w:cs="Arial"/>
          <w:b/>
          <w:bCs/>
        </w:rPr>
      </w:pPr>
    </w:p>
    <w:sectPr w:rsidR="005239DB" w:rsidSect="005B69F4">
      <w:footerReference w:type="default" r:id="rId10"/>
      <w:headerReference w:type="first" r:id="rId11"/>
      <w:footerReference w:type="first" r:id="rId12"/>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B37" w:rsidRDefault="00B96B37">
      <w:r>
        <w:separator/>
      </w:r>
    </w:p>
  </w:endnote>
  <w:endnote w:type="continuationSeparator" w:id="0">
    <w:p w:rsidR="00B96B37" w:rsidRDefault="00B96B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99" w:rsidRPr="00513DB0" w:rsidRDefault="00413299" w:rsidP="00C24B4E">
    <w:pPr>
      <w:jc w:val="center"/>
      <w:rPr>
        <w:rFonts w:ascii="Arial" w:hAnsi="Arial" w:cs="Arial"/>
        <w:sz w:val="20"/>
        <w:szCs w:val="20"/>
      </w:rPr>
    </w:pPr>
    <w:r>
      <w:rPr>
        <w:rStyle w:val="PageNumber"/>
        <w:rFonts w:ascii="Arial" w:hAnsi="Arial" w:cs="Arial"/>
      </w:rPr>
      <w:t>___________________________________________________________________</w:t>
    </w:r>
    <w:r w:rsidR="00673984" w:rsidRPr="00513DB0">
      <w:rPr>
        <w:rStyle w:val="PageNumber"/>
        <w:rFonts w:ascii="Arial" w:hAnsi="Arial" w:cs="Arial"/>
      </w:rPr>
      <w:fldChar w:fldCharType="begin"/>
    </w:r>
    <w:r w:rsidRPr="00513DB0">
      <w:rPr>
        <w:rStyle w:val="PageNumber"/>
        <w:rFonts w:ascii="Arial" w:hAnsi="Arial" w:cs="Arial"/>
      </w:rPr>
      <w:instrText xml:space="preserve"> PAGE </w:instrText>
    </w:r>
    <w:r w:rsidR="00673984" w:rsidRPr="00513DB0">
      <w:rPr>
        <w:rStyle w:val="PageNumber"/>
        <w:rFonts w:ascii="Arial" w:hAnsi="Arial" w:cs="Arial"/>
      </w:rPr>
      <w:fldChar w:fldCharType="separate"/>
    </w:r>
    <w:r w:rsidR="00444F91">
      <w:rPr>
        <w:rStyle w:val="PageNumber"/>
        <w:rFonts w:ascii="Arial" w:hAnsi="Arial" w:cs="Arial"/>
        <w:noProof/>
      </w:rPr>
      <w:t>2</w:t>
    </w:r>
    <w:r w:rsidR="00673984" w:rsidRPr="00513DB0">
      <w:rPr>
        <w:rStyle w:val="PageNumber"/>
        <w:rFonts w:ascii="Arial" w:hAnsi="Arial" w:cs="Arial"/>
      </w:rPr>
      <w:fldChar w:fldCharType="end"/>
    </w:r>
  </w:p>
  <w:p w:rsidR="00413299" w:rsidRDefault="00413299"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99" w:rsidRPr="00513DB0" w:rsidRDefault="00413299"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673984" w:rsidRPr="00513DB0">
      <w:rPr>
        <w:rStyle w:val="PageNumber"/>
        <w:rFonts w:ascii="Arial" w:hAnsi="Arial" w:cs="Arial"/>
      </w:rPr>
      <w:fldChar w:fldCharType="begin"/>
    </w:r>
    <w:r w:rsidRPr="00513DB0">
      <w:rPr>
        <w:rStyle w:val="PageNumber"/>
        <w:rFonts w:ascii="Arial" w:hAnsi="Arial" w:cs="Arial"/>
      </w:rPr>
      <w:instrText xml:space="preserve"> PAGE </w:instrText>
    </w:r>
    <w:r w:rsidR="00673984" w:rsidRPr="00513DB0">
      <w:rPr>
        <w:rStyle w:val="PageNumber"/>
        <w:rFonts w:ascii="Arial" w:hAnsi="Arial" w:cs="Arial"/>
      </w:rPr>
      <w:fldChar w:fldCharType="separate"/>
    </w:r>
    <w:r w:rsidR="00444F91">
      <w:rPr>
        <w:rStyle w:val="PageNumber"/>
        <w:rFonts w:ascii="Arial" w:hAnsi="Arial" w:cs="Arial"/>
        <w:noProof/>
      </w:rPr>
      <w:t>1</w:t>
    </w:r>
    <w:r w:rsidR="00673984" w:rsidRPr="00513DB0">
      <w:rPr>
        <w:rStyle w:val="PageNumber"/>
        <w:rFonts w:ascii="Arial" w:hAnsi="Arial" w:cs="Arial"/>
      </w:rPr>
      <w:fldChar w:fldCharType="end"/>
    </w:r>
  </w:p>
  <w:p w:rsidR="00413299" w:rsidRDefault="00413299" w:rsidP="005B69F4">
    <w:pPr>
      <w:ind w:right="184"/>
      <w:jc w:val="center"/>
      <w:rPr>
        <w:rFonts w:ascii="Arial" w:hAnsi="Arial" w:cs="Arial"/>
        <w:sz w:val="20"/>
        <w:szCs w:val="20"/>
      </w:rPr>
    </w:pPr>
  </w:p>
  <w:p w:rsidR="00413299" w:rsidRPr="008F5DB5" w:rsidRDefault="00413299"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rsidR="00413299" w:rsidRPr="005B69F4" w:rsidRDefault="00413299" w:rsidP="005B69F4">
    <w:pPr>
      <w:pStyle w:val="Title"/>
      <w:ind w:right="184"/>
      <w:jc w:val="left"/>
      <w:outlineLvl w:val="0"/>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B37" w:rsidRDefault="00B96B37">
      <w:r>
        <w:separator/>
      </w:r>
    </w:p>
  </w:footnote>
  <w:footnote w:type="continuationSeparator" w:id="0">
    <w:p w:rsidR="00B96B37" w:rsidRDefault="00B96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99" w:rsidRPr="00CF6461" w:rsidRDefault="00444F91" w:rsidP="00CF6461">
    <w:pPr>
      <w:pStyle w:val="Header"/>
      <w:jc w:val="right"/>
      <w:rPr>
        <w:rFonts w:ascii="Arial" w:hAnsi="Arial" w:cs="Arial"/>
        <w:b/>
        <w:color w:val="0070C0"/>
        <w:sz w:val="28"/>
        <w:szCs w:val="28"/>
      </w:rPr>
    </w:pPr>
    <w:r>
      <w:rPr>
        <w:rFonts w:ascii="Arial" w:hAnsi="Arial" w:cs="Arial"/>
        <w:b/>
        <w:color w:val="0070C0"/>
        <w:sz w:val="28"/>
        <w:szCs w:val="28"/>
      </w:rPr>
      <w:t>Item 6.1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F739D4"/>
    <w:multiLevelType w:val="hybridMultilevel"/>
    <w:tmpl w:val="89FE767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8"/>
  </w:num>
  <w:num w:numId="3">
    <w:abstractNumId w:val="12"/>
  </w:num>
  <w:num w:numId="4">
    <w:abstractNumId w:val="1"/>
  </w:num>
  <w:num w:numId="5">
    <w:abstractNumId w:val="3"/>
  </w:num>
  <w:num w:numId="6">
    <w:abstractNumId w:val="10"/>
  </w:num>
  <w:num w:numId="7">
    <w:abstractNumId w:val="17"/>
  </w:num>
  <w:num w:numId="8">
    <w:abstractNumId w:val="0"/>
  </w:num>
  <w:num w:numId="9">
    <w:abstractNumId w:val="16"/>
  </w:num>
  <w:num w:numId="10">
    <w:abstractNumId w:val="8"/>
  </w:num>
  <w:num w:numId="11">
    <w:abstractNumId w:val="7"/>
  </w:num>
  <w:num w:numId="12">
    <w:abstractNumId w:val="13"/>
  </w:num>
  <w:num w:numId="13">
    <w:abstractNumId w:val="5"/>
  </w:num>
  <w:num w:numId="14">
    <w:abstractNumId w:val="4"/>
  </w:num>
  <w:num w:numId="15">
    <w:abstractNumId w:val="9"/>
  </w:num>
  <w:num w:numId="16">
    <w:abstractNumId w:val="6"/>
  </w:num>
  <w:num w:numId="17">
    <w:abstractNumId w:val="11"/>
  </w:num>
  <w:num w:numId="18">
    <w:abstractNumId w:val="2"/>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rsids>
    <w:rsidRoot w:val="00A2577B"/>
    <w:rsid w:val="00061CDE"/>
    <w:rsid w:val="00075AAA"/>
    <w:rsid w:val="00097EAE"/>
    <w:rsid w:val="000B5923"/>
    <w:rsid w:val="000D0952"/>
    <w:rsid w:val="00115F97"/>
    <w:rsid w:val="001175E5"/>
    <w:rsid w:val="001565E7"/>
    <w:rsid w:val="001A6112"/>
    <w:rsid w:val="001E4864"/>
    <w:rsid w:val="002253CC"/>
    <w:rsid w:val="002A42DD"/>
    <w:rsid w:val="0031078B"/>
    <w:rsid w:val="003125C5"/>
    <w:rsid w:val="0031768C"/>
    <w:rsid w:val="003E423D"/>
    <w:rsid w:val="003F19CA"/>
    <w:rsid w:val="00413299"/>
    <w:rsid w:val="004254DC"/>
    <w:rsid w:val="004364E2"/>
    <w:rsid w:val="00444F91"/>
    <w:rsid w:val="004512CE"/>
    <w:rsid w:val="004D6A0C"/>
    <w:rsid w:val="00513DB0"/>
    <w:rsid w:val="005239DB"/>
    <w:rsid w:val="00526532"/>
    <w:rsid w:val="005A4D77"/>
    <w:rsid w:val="005B4BA8"/>
    <w:rsid w:val="005B69F4"/>
    <w:rsid w:val="005F02B7"/>
    <w:rsid w:val="0060634D"/>
    <w:rsid w:val="00661EF1"/>
    <w:rsid w:val="00673984"/>
    <w:rsid w:val="006A1357"/>
    <w:rsid w:val="006D6F99"/>
    <w:rsid w:val="006F5C82"/>
    <w:rsid w:val="00711E7A"/>
    <w:rsid w:val="007672D7"/>
    <w:rsid w:val="007B4090"/>
    <w:rsid w:val="00815350"/>
    <w:rsid w:val="00825B2D"/>
    <w:rsid w:val="00844E0E"/>
    <w:rsid w:val="0085483F"/>
    <w:rsid w:val="008A07AE"/>
    <w:rsid w:val="008C26A2"/>
    <w:rsid w:val="00902143"/>
    <w:rsid w:val="0093700B"/>
    <w:rsid w:val="00937BE5"/>
    <w:rsid w:val="009742FA"/>
    <w:rsid w:val="00974594"/>
    <w:rsid w:val="009E4A2F"/>
    <w:rsid w:val="009E6A39"/>
    <w:rsid w:val="00A2577B"/>
    <w:rsid w:val="00A3124D"/>
    <w:rsid w:val="00A560AF"/>
    <w:rsid w:val="00AE4036"/>
    <w:rsid w:val="00B82278"/>
    <w:rsid w:val="00B90A2F"/>
    <w:rsid w:val="00B96B37"/>
    <w:rsid w:val="00C0017D"/>
    <w:rsid w:val="00C1616F"/>
    <w:rsid w:val="00C24B4E"/>
    <w:rsid w:val="00C36974"/>
    <w:rsid w:val="00C956E2"/>
    <w:rsid w:val="00CA6DDF"/>
    <w:rsid w:val="00CE4B72"/>
    <w:rsid w:val="00CF6461"/>
    <w:rsid w:val="00D01380"/>
    <w:rsid w:val="00D05F2C"/>
    <w:rsid w:val="00D306B6"/>
    <w:rsid w:val="00D92AA6"/>
    <w:rsid w:val="00DB0432"/>
    <w:rsid w:val="00DD7115"/>
    <w:rsid w:val="00DE5902"/>
    <w:rsid w:val="00DF0CAB"/>
    <w:rsid w:val="00E24BFC"/>
    <w:rsid w:val="00E40B0D"/>
    <w:rsid w:val="00E95856"/>
    <w:rsid w:val="00EA4869"/>
    <w:rsid w:val="00EB578F"/>
    <w:rsid w:val="00EB7C07"/>
    <w:rsid w:val="00F02775"/>
    <w:rsid w:val="00F12826"/>
    <w:rsid w:val="00F13187"/>
    <w:rsid w:val="00F459C0"/>
    <w:rsid w:val="00F7206C"/>
    <w:rsid w:val="00F84D27"/>
    <w:rsid w:val="00FD5E76"/>
    <w:rsid w:val="00FE14F0"/>
    <w:rsid w:val="00FE3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818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FBC93-AF99-4786-8197-D6F4550C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160</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15</cp:revision>
  <cp:lastPrinted>2019-04-17T09:28:00Z</cp:lastPrinted>
  <dcterms:created xsi:type="dcterms:W3CDTF">2018-09-06T14:11:00Z</dcterms:created>
  <dcterms:modified xsi:type="dcterms:W3CDTF">2019-06-11T15:47:00Z</dcterms:modified>
</cp:coreProperties>
</file>