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308" w:rsidRDefault="00EF39DF" w:rsidP="00837308">
      <w:pPr>
        <w:jc w:val="center"/>
        <w:rPr>
          <w:rFonts w:ascii="Arial" w:hAnsi="Arial" w:cs="Arial"/>
        </w:rPr>
      </w:pPr>
      <w:r>
        <w:rPr>
          <w:rFonts w:ascii="Arial" w:hAnsi="Arial" w:cs="Arial"/>
          <w:noProof/>
          <w:lang w:val="en-GB" w:eastAsia="en-GB"/>
        </w:rPr>
        <w:drawing>
          <wp:anchor distT="0" distB="0" distL="114300" distR="114300" simplePos="0" relativeHeight="251659776" behindDoc="0" locked="0" layoutInCell="1" allowOverlap="1">
            <wp:simplePos x="0" y="0"/>
            <wp:positionH relativeFrom="margin">
              <wp:posOffset>4674235</wp:posOffset>
            </wp:positionH>
            <wp:positionV relativeFrom="margin">
              <wp:posOffset>2540</wp:posOffset>
            </wp:positionV>
            <wp:extent cx="2101215" cy="876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al brandi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1215" cy="876300"/>
                    </a:xfrm>
                    <a:prstGeom prst="rect">
                      <a:avLst/>
                    </a:prstGeom>
                  </pic:spPr>
                </pic:pic>
              </a:graphicData>
            </a:graphic>
            <wp14:sizeRelH relativeFrom="margin">
              <wp14:pctWidth>0</wp14:pctWidth>
            </wp14:sizeRelH>
            <wp14:sizeRelV relativeFrom="margin">
              <wp14:pctHeight>0</wp14:pctHeight>
            </wp14:sizeRelV>
          </wp:anchor>
        </w:drawing>
      </w:r>
    </w:p>
    <w:p w:rsidR="00837308" w:rsidRDefault="00837308" w:rsidP="00837308">
      <w:pPr>
        <w:jc w:val="center"/>
        <w:rPr>
          <w:rFonts w:ascii="Arial" w:hAnsi="Arial" w:cs="Arial"/>
        </w:rPr>
      </w:pPr>
    </w:p>
    <w:p w:rsidR="00837308" w:rsidRDefault="00837308" w:rsidP="00837308">
      <w:pPr>
        <w:jc w:val="center"/>
        <w:rPr>
          <w:rFonts w:ascii="Arial" w:hAnsi="Arial" w:cs="Arial"/>
        </w:rPr>
      </w:pPr>
    </w:p>
    <w:p w:rsidR="00837308" w:rsidRDefault="00837308" w:rsidP="00837308">
      <w:pPr>
        <w:jc w:val="center"/>
        <w:rPr>
          <w:rFonts w:ascii="Arial" w:hAnsi="Arial" w:cs="Arial"/>
        </w:rPr>
      </w:pPr>
    </w:p>
    <w:p w:rsidR="00837308" w:rsidRDefault="00837308" w:rsidP="00837308">
      <w:pPr>
        <w:jc w:val="center"/>
        <w:rPr>
          <w:rFonts w:ascii="Arial" w:hAnsi="Arial" w:cs="Arial"/>
        </w:rPr>
      </w:pPr>
    </w:p>
    <w:p w:rsidR="00837308" w:rsidRDefault="00837308" w:rsidP="00837308">
      <w:pPr>
        <w:rPr>
          <w:rFonts w:ascii="Arial Narrow" w:hAnsi="Arial Narrow"/>
          <w:sz w:val="28"/>
          <w:szCs w:val="28"/>
        </w:rPr>
      </w:pPr>
    </w:p>
    <w:p w:rsidR="00837308" w:rsidRPr="00740242" w:rsidRDefault="00837308" w:rsidP="00837308">
      <w:pPr>
        <w:rPr>
          <w:rFonts w:ascii="Arial Narrow" w:hAnsi="Arial Narrow"/>
          <w:sz w:val="28"/>
          <w:szCs w:val="28"/>
        </w:rPr>
      </w:pPr>
    </w:p>
    <w:p w:rsidR="00837308" w:rsidRDefault="00837308" w:rsidP="00837308">
      <w:pPr>
        <w:jc w:val="center"/>
        <w:rPr>
          <w:rFonts w:ascii="Arial Narrow" w:hAnsi="Arial Narrow"/>
          <w:sz w:val="28"/>
          <w:szCs w:val="28"/>
        </w:rPr>
      </w:pPr>
    </w:p>
    <w:p w:rsidR="00837308" w:rsidRPr="00740242" w:rsidRDefault="00837308" w:rsidP="00837308">
      <w:pPr>
        <w:rPr>
          <w:rFonts w:ascii="Arial Narrow" w:hAnsi="Arial Narrow"/>
        </w:rPr>
      </w:pPr>
    </w:p>
    <w:p w:rsidR="00837308" w:rsidRPr="00740242" w:rsidRDefault="00837308" w:rsidP="00837308">
      <w:pPr>
        <w:rPr>
          <w:rFonts w:ascii="Arial Narrow" w:hAnsi="Arial Narrow"/>
        </w:rPr>
      </w:pPr>
    </w:p>
    <w:p w:rsidR="00837308" w:rsidRPr="00740242" w:rsidRDefault="00837308" w:rsidP="00837308">
      <w:pPr>
        <w:jc w:val="center"/>
        <w:rPr>
          <w:rFonts w:ascii="Arial Narrow" w:hAnsi="Arial Narrow"/>
        </w:rPr>
      </w:pPr>
      <w:r w:rsidRPr="00740242">
        <w:rPr>
          <w:rFonts w:ascii="Arial Narrow" w:hAnsi="Arial Narrow"/>
          <w:noProof/>
          <w:lang w:val="en-GB" w:eastAsia="en-GB"/>
        </w:rPr>
        <w:drawing>
          <wp:inline distT="0" distB="0" distL="0" distR="0" wp14:anchorId="3590F1BD" wp14:editId="1496BF46">
            <wp:extent cx="4180205" cy="2386965"/>
            <wp:effectExtent l="57150" t="38100" r="29845" b="13335"/>
            <wp:docPr id="1" name="Picture 50" descr="DSC_0014_New Ent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SC_0014_New Entrance"/>
                    <pic:cNvPicPr>
                      <a:picLocks noChangeAspect="1" noChangeArrowheads="1"/>
                    </pic:cNvPicPr>
                  </pic:nvPicPr>
                  <pic:blipFill>
                    <a:blip r:embed="rId9" cstate="print"/>
                    <a:srcRect/>
                    <a:stretch>
                      <a:fillRect/>
                    </a:stretch>
                  </pic:blipFill>
                  <pic:spPr bwMode="auto">
                    <a:xfrm>
                      <a:off x="0" y="0"/>
                      <a:ext cx="4180205" cy="2386965"/>
                    </a:xfrm>
                    <a:prstGeom prst="rect">
                      <a:avLst/>
                    </a:prstGeom>
                    <a:solidFill>
                      <a:srgbClr val="CCFFFF"/>
                    </a:solidFill>
                    <a:ln w="38100" cmpd="dbl">
                      <a:solidFill>
                        <a:srgbClr val="CCFFFF"/>
                      </a:solidFill>
                      <a:miter lim="800000"/>
                      <a:headEnd/>
                      <a:tailEnd/>
                    </a:ln>
                    <a:effectLst/>
                  </pic:spPr>
                </pic:pic>
              </a:graphicData>
            </a:graphic>
          </wp:inline>
        </w:drawing>
      </w:r>
    </w:p>
    <w:p w:rsidR="00837308" w:rsidRPr="00740242" w:rsidRDefault="00837308" w:rsidP="00837308">
      <w:pPr>
        <w:rPr>
          <w:rFonts w:ascii="Arial Narrow" w:hAnsi="Arial Narrow"/>
        </w:rPr>
      </w:pPr>
    </w:p>
    <w:p w:rsidR="00837308" w:rsidRPr="00682E1F" w:rsidRDefault="00837308" w:rsidP="00837308">
      <w:pPr>
        <w:rPr>
          <w:rFonts w:ascii="Arial" w:hAnsi="Arial" w:cs="Arial"/>
        </w:rPr>
      </w:pPr>
    </w:p>
    <w:p w:rsidR="00837308" w:rsidRPr="00682E1F" w:rsidRDefault="00837308" w:rsidP="00837308">
      <w:pPr>
        <w:rPr>
          <w:rFonts w:ascii="Arial" w:hAnsi="Arial" w:cs="Arial"/>
        </w:rPr>
      </w:pPr>
    </w:p>
    <w:p w:rsidR="00837308" w:rsidRPr="00682E1F" w:rsidRDefault="00837308" w:rsidP="00837308">
      <w:pPr>
        <w:rPr>
          <w:rFonts w:ascii="Arial" w:hAnsi="Arial" w:cs="Arial"/>
        </w:rPr>
      </w:pPr>
    </w:p>
    <w:p w:rsidR="00837308" w:rsidRDefault="00837308" w:rsidP="00837308">
      <w:pPr>
        <w:outlineLvl w:val="0"/>
        <w:rPr>
          <w:rFonts w:ascii="Arial" w:hAnsi="Arial" w:cs="Arial"/>
          <w:b/>
          <w:sz w:val="22"/>
          <w:szCs w:val="22"/>
        </w:rPr>
      </w:pPr>
    </w:p>
    <w:p w:rsidR="00837308" w:rsidRDefault="00837308" w:rsidP="00837308">
      <w:pPr>
        <w:outlineLvl w:val="0"/>
        <w:rPr>
          <w:rFonts w:ascii="Arial" w:hAnsi="Arial" w:cs="Arial"/>
          <w:b/>
          <w:sz w:val="22"/>
          <w:szCs w:val="22"/>
        </w:rPr>
      </w:pPr>
    </w:p>
    <w:p w:rsidR="00837308" w:rsidRDefault="00837308" w:rsidP="00837308">
      <w:pPr>
        <w:outlineLvl w:val="0"/>
        <w:rPr>
          <w:rFonts w:ascii="Arial" w:hAnsi="Arial" w:cs="Arial"/>
          <w:b/>
          <w:sz w:val="22"/>
          <w:szCs w:val="22"/>
        </w:rPr>
      </w:pPr>
    </w:p>
    <w:p w:rsidR="00837308" w:rsidRDefault="00837308" w:rsidP="00837308">
      <w:pPr>
        <w:outlineLvl w:val="0"/>
        <w:rPr>
          <w:rFonts w:ascii="Arial" w:hAnsi="Arial" w:cs="Arial"/>
          <w:b/>
          <w:sz w:val="22"/>
          <w:szCs w:val="22"/>
        </w:rPr>
      </w:pPr>
      <w:bookmarkStart w:id="0" w:name="_GoBack"/>
      <w:bookmarkEnd w:id="0"/>
    </w:p>
    <w:p w:rsidR="00837308" w:rsidRDefault="00837308" w:rsidP="00837308">
      <w:pPr>
        <w:jc w:val="center"/>
        <w:rPr>
          <w:rFonts w:ascii="Arial" w:hAnsi="Arial" w:cs="Arial"/>
        </w:rPr>
      </w:pPr>
    </w:p>
    <w:p w:rsidR="00837308" w:rsidRDefault="00837308" w:rsidP="00837308">
      <w:pPr>
        <w:jc w:val="center"/>
        <w:rPr>
          <w:rFonts w:ascii="Arial" w:hAnsi="Arial" w:cs="Arial"/>
        </w:rPr>
      </w:pPr>
    </w:p>
    <w:p w:rsidR="00837308" w:rsidRDefault="00837308" w:rsidP="00837308">
      <w:pPr>
        <w:rPr>
          <w:rFonts w:ascii="Arial" w:hAnsi="Arial" w:cs="Arial"/>
          <w:b/>
          <w:sz w:val="28"/>
          <w:szCs w:val="28"/>
        </w:rPr>
      </w:pPr>
      <w:r>
        <w:rPr>
          <w:rFonts w:ascii="Arial" w:hAnsi="Arial" w:cs="Arial"/>
          <w:b/>
          <w:sz w:val="28"/>
          <w:szCs w:val="28"/>
        </w:rPr>
        <w:t>NHS Golden Jubilee</w:t>
      </w:r>
    </w:p>
    <w:p w:rsidR="00837308" w:rsidRPr="00682E1F" w:rsidRDefault="00837308" w:rsidP="00837308">
      <w:pPr>
        <w:rPr>
          <w:rFonts w:ascii="Arial" w:hAnsi="Arial" w:cs="Arial"/>
          <w:b/>
          <w:sz w:val="28"/>
          <w:szCs w:val="28"/>
        </w:rPr>
      </w:pPr>
      <w:r w:rsidRPr="00682E1F">
        <w:rPr>
          <w:rFonts w:ascii="Arial" w:hAnsi="Arial" w:cs="Arial"/>
          <w:b/>
          <w:sz w:val="28"/>
          <w:szCs w:val="28"/>
        </w:rPr>
        <w:t xml:space="preserve">Duty of Candour Annual Report </w:t>
      </w:r>
    </w:p>
    <w:p w:rsidR="00837308" w:rsidRPr="00740242" w:rsidRDefault="00837308" w:rsidP="00837308">
      <w:pPr>
        <w:rPr>
          <w:rFonts w:ascii="Arial Narrow" w:hAnsi="Arial Narrow"/>
          <w:b/>
        </w:rPr>
      </w:pPr>
    </w:p>
    <w:p w:rsidR="00837308" w:rsidRPr="00682E1F" w:rsidRDefault="00837308" w:rsidP="00837308">
      <w:pPr>
        <w:rPr>
          <w:rFonts w:ascii="Arial" w:hAnsi="Arial" w:cs="Arial"/>
          <w:b/>
          <w:sz w:val="28"/>
          <w:szCs w:val="28"/>
        </w:rPr>
      </w:pPr>
      <w:r w:rsidRPr="00682E1F">
        <w:rPr>
          <w:rFonts w:ascii="Arial" w:hAnsi="Arial" w:cs="Arial"/>
          <w:b/>
          <w:sz w:val="28"/>
          <w:szCs w:val="28"/>
        </w:rPr>
        <w:t>2018</w:t>
      </w:r>
      <w:r>
        <w:rPr>
          <w:rFonts w:ascii="Arial" w:hAnsi="Arial" w:cs="Arial"/>
          <w:b/>
          <w:sz w:val="28"/>
          <w:szCs w:val="28"/>
        </w:rPr>
        <w:t>/</w:t>
      </w:r>
      <w:r w:rsidRPr="00682E1F">
        <w:rPr>
          <w:rFonts w:ascii="Arial" w:hAnsi="Arial" w:cs="Arial"/>
          <w:b/>
          <w:sz w:val="28"/>
          <w:szCs w:val="28"/>
        </w:rPr>
        <w:t>2019</w:t>
      </w:r>
    </w:p>
    <w:p w:rsidR="00837308" w:rsidRPr="00740242" w:rsidRDefault="00837308" w:rsidP="00837308">
      <w:pPr>
        <w:rPr>
          <w:rFonts w:ascii="Arial Narrow" w:hAnsi="Arial Narrow"/>
        </w:rPr>
      </w:pPr>
    </w:p>
    <w:p w:rsidR="00837308" w:rsidRDefault="00837308" w:rsidP="00837308">
      <w:pPr>
        <w:jc w:val="center"/>
        <w:rPr>
          <w:rFonts w:ascii="Arial" w:hAnsi="Arial" w:cs="Arial"/>
        </w:rPr>
      </w:pPr>
    </w:p>
    <w:p w:rsidR="00837308" w:rsidRDefault="00837308" w:rsidP="00837308">
      <w:pPr>
        <w:jc w:val="center"/>
        <w:rPr>
          <w:rFonts w:ascii="Arial" w:hAnsi="Arial" w:cs="Arial"/>
        </w:rPr>
      </w:pPr>
    </w:p>
    <w:p w:rsidR="00837308" w:rsidRDefault="00837308" w:rsidP="00837308">
      <w:pPr>
        <w:jc w:val="center"/>
        <w:rPr>
          <w:rFonts w:ascii="Arial" w:hAnsi="Arial" w:cs="Arial"/>
        </w:rPr>
      </w:pPr>
    </w:p>
    <w:p w:rsidR="00837308" w:rsidRDefault="00837308" w:rsidP="00837308">
      <w:pPr>
        <w:jc w:val="center"/>
        <w:rPr>
          <w:rFonts w:ascii="Arial" w:hAnsi="Arial" w:cs="Arial"/>
        </w:rPr>
      </w:pPr>
    </w:p>
    <w:p w:rsidR="00837308" w:rsidRDefault="00837308" w:rsidP="00837308">
      <w:pPr>
        <w:jc w:val="center"/>
        <w:rPr>
          <w:rFonts w:ascii="Arial" w:hAnsi="Arial" w:cs="Arial"/>
        </w:rPr>
      </w:pPr>
    </w:p>
    <w:p w:rsidR="00837308" w:rsidRDefault="00837308" w:rsidP="00837308">
      <w:pPr>
        <w:jc w:val="center"/>
        <w:rPr>
          <w:rFonts w:ascii="Arial" w:hAnsi="Arial" w:cs="Arial"/>
        </w:rPr>
      </w:pPr>
    </w:p>
    <w:p w:rsidR="00837308" w:rsidRDefault="00837308" w:rsidP="00837308">
      <w:pPr>
        <w:jc w:val="center"/>
        <w:rPr>
          <w:rFonts w:ascii="Arial" w:hAnsi="Arial" w:cs="Arial"/>
        </w:rPr>
      </w:pPr>
    </w:p>
    <w:p w:rsidR="00837308" w:rsidRDefault="00837308" w:rsidP="00837308">
      <w:pPr>
        <w:jc w:val="center"/>
        <w:rPr>
          <w:rFonts w:ascii="Arial" w:hAnsi="Arial" w:cs="Arial"/>
        </w:rPr>
      </w:pPr>
    </w:p>
    <w:p w:rsidR="00837308" w:rsidRDefault="00837308" w:rsidP="00837308">
      <w:pPr>
        <w:jc w:val="center"/>
        <w:rPr>
          <w:rFonts w:ascii="Arial" w:hAnsi="Arial" w:cs="Arial"/>
        </w:rPr>
      </w:pPr>
    </w:p>
    <w:p w:rsidR="00837308" w:rsidRDefault="00837308" w:rsidP="00837308">
      <w:pPr>
        <w:jc w:val="center"/>
        <w:rPr>
          <w:rFonts w:ascii="Arial" w:hAnsi="Arial" w:cs="Arial"/>
        </w:rPr>
      </w:pPr>
    </w:p>
    <w:p w:rsidR="00837308" w:rsidRDefault="00837308" w:rsidP="00837308">
      <w:pPr>
        <w:jc w:val="center"/>
        <w:rPr>
          <w:rFonts w:ascii="Arial" w:hAnsi="Arial" w:cs="Arial"/>
        </w:rPr>
      </w:pPr>
    </w:p>
    <w:p w:rsidR="00837308" w:rsidRDefault="00837308" w:rsidP="00837308">
      <w:pPr>
        <w:jc w:val="center"/>
        <w:rPr>
          <w:rFonts w:ascii="Arial" w:hAnsi="Arial" w:cs="Arial"/>
        </w:rPr>
      </w:pPr>
    </w:p>
    <w:p w:rsidR="00837308" w:rsidRPr="00EF39DF" w:rsidRDefault="00837308" w:rsidP="00837308">
      <w:pPr>
        <w:pStyle w:val="Default"/>
        <w:numPr>
          <w:ilvl w:val="0"/>
          <w:numId w:val="3"/>
        </w:numPr>
        <w:rPr>
          <w:b/>
        </w:rPr>
      </w:pPr>
      <w:r w:rsidRPr="00EF39DF">
        <w:rPr>
          <w:b/>
        </w:rPr>
        <w:t>Introduction</w:t>
      </w:r>
    </w:p>
    <w:p w:rsidR="00837308" w:rsidRPr="00EF39DF" w:rsidRDefault="00837308" w:rsidP="00837308">
      <w:pPr>
        <w:pStyle w:val="Default"/>
        <w:rPr>
          <w:b/>
          <w:u w:val="single"/>
        </w:rPr>
      </w:pPr>
    </w:p>
    <w:p w:rsidR="00837308" w:rsidRPr="00EF39DF" w:rsidRDefault="00837308" w:rsidP="00837308">
      <w:pPr>
        <w:pStyle w:val="Default"/>
        <w:ind w:left="426"/>
      </w:pPr>
      <w:r w:rsidRPr="00EF39DF">
        <w:t xml:space="preserve">All health and social care services in Scotland have a Duty of Candour (DoC). This is a legal requirement which means that when unintended or unexpected events happen that result in death or harm as defined in the Act, the people affected understand what has happened, receive an apology, and that organisations learn how to improve for the future. </w:t>
      </w:r>
    </w:p>
    <w:p w:rsidR="00837308" w:rsidRPr="00EF39DF" w:rsidRDefault="00837308" w:rsidP="00837308">
      <w:pPr>
        <w:pStyle w:val="Default"/>
        <w:ind w:left="426"/>
      </w:pPr>
    </w:p>
    <w:p w:rsidR="00837308" w:rsidRPr="00EF39DF" w:rsidRDefault="00837308" w:rsidP="00837308">
      <w:pPr>
        <w:pStyle w:val="Default"/>
        <w:ind w:left="426"/>
      </w:pPr>
      <w:r w:rsidRPr="00EF39DF">
        <w:t xml:space="preserve">An important part of this </w:t>
      </w:r>
      <w:r w:rsidR="00833444">
        <w:t>D</w:t>
      </w:r>
      <w:r w:rsidRPr="00EF39DF">
        <w:t xml:space="preserve">uty is that we provide an annual report about how the DoC is implemented </w:t>
      </w:r>
      <w:r w:rsidR="00833444">
        <w:t>within the NHS Golden Jubilee</w:t>
      </w:r>
      <w:r w:rsidR="000D60CE">
        <w:t xml:space="preserve"> </w:t>
      </w:r>
      <w:r w:rsidRPr="00EF39DF">
        <w:t xml:space="preserve">services. This report describes how we have operated the DoC during the time between 1 April 2018 and 31 March 2019.  </w:t>
      </w:r>
    </w:p>
    <w:p w:rsidR="00837308" w:rsidRDefault="00837308" w:rsidP="00837308">
      <w:pPr>
        <w:jc w:val="both"/>
        <w:rPr>
          <w:rFonts w:ascii="Arial" w:hAnsi="Arial" w:cs="Arial"/>
        </w:rPr>
      </w:pPr>
    </w:p>
    <w:p w:rsidR="009002EA" w:rsidRPr="00837308" w:rsidRDefault="009002EA" w:rsidP="00837308">
      <w:pPr>
        <w:jc w:val="both"/>
        <w:rPr>
          <w:rFonts w:ascii="Arial" w:hAnsi="Arial" w:cs="Arial"/>
        </w:rPr>
      </w:pPr>
    </w:p>
    <w:p w:rsidR="00837308" w:rsidRPr="00EF39DF" w:rsidRDefault="00837308" w:rsidP="00837308">
      <w:pPr>
        <w:pStyle w:val="ListParagraph"/>
        <w:numPr>
          <w:ilvl w:val="0"/>
          <w:numId w:val="3"/>
        </w:numPr>
        <w:autoSpaceDE w:val="0"/>
        <w:autoSpaceDN w:val="0"/>
        <w:adjustRightInd w:val="0"/>
        <w:rPr>
          <w:rFonts w:ascii="Arial" w:hAnsi="Arial" w:cs="Arial"/>
          <w:b/>
          <w:sz w:val="24"/>
          <w:szCs w:val="24"/>
        </w:rPr>
      </w:pPr>
      <w:r w:rsidRPr="00EF39DF">
        <w:rPr>
          <w:rFonts w:ascii="Arial" w:hAnsi="Arial" w:cs="Arial"/>
          <w:b/>
          <w:sz w:val="24"/>
          <w:szCs w:val="24"/>
        </w:rPr>
        <w:t xml:space="preserve">About </w:t>
      </w:r>
      <w:r w:rsidR="00833444">
        <w:rPr>
          <w:rFonts w:ascii="Arial" w:hAnsi="Arial" w:cs="Arial"/>
          <w:b/>
          <w:sz w:val="24"/>
          <w:szCs w:val="24"/>
        </w:rPr>
        <w:t xml:space="preserve">NHS </w:t>
      </w:r>
      <w:r w:rsidRPr="00EF39DF">
        <w:rPr>
          <w:rFonts w:ascii="Arial" w:hAnsi="Arial" w:cs="Arial"/>
          <w:b/>
          <w:sz w:val="24"/>
          <w:szCs w:val="24"/>
        </w:rPr>
        <w:t xml:space="preserve">Golden Jubilee </w:t>
      </w:r>
    </w:p>
    <w:p w:rsidR="00837308" w:rsidRPr="00EF39DF" w:rsidRDefault="00837308" w:rsidP="00837308">
      <w:pPr>
        <w:autoSpaceDE w:val="0"/>
        <w:autoSpaceDN w:val="0"/>
        <w:adjustRightInd w:val="0"/>
        <w:rPr>
          <w:rFonts w:ascii="Arial" w:hAnsi="Arial" w:cs="Arial"/>
        </w:rPr>
      </w:pPr>
    </w:p>
    <w:p w:rsidR="00837308" w:rsidRPr="00EF39DF" w:rsidRDefault="00833444" w:rsidP="00837308">
      <w:pPr>
        <w:autoSpaceDE w:val="0"/>
        <w:autoSpaceDN w:val="0"/>
        <w:adjustRightInd w:val="0"/>
        <w:ind w:left="426"/>
        <w:rPr>
          <w:rFonts w:ascii="Arial" w:hAnsi="Arial" w:cs="Arial"/>
        </w:rPr>
      </w:pPr>
      <w:r>
        <w:rPr>
          <w:rFonts w:ascii="Arial" w:hAnsi="Arial" w:cs="Arial"/>
        </w:rPr>
        <w:t xml:space="preserve">NHS </w:t>
      </w:r>
      <w:r w:rsidR="00837308" w:rsidRPr="00EF39DF">
        <w:rPr>
          <w:rFonts w:ascii="Arial" w:hAnsi="Arial" w:cs="Arial"/>
        </w:rPr>
        <w:t xml:space="preserve">Golden Jubilee has always aimed to ensure that we support the delivery of NHS Scotland’s national health priorities. Our focus since our establishment has been to meet NHS Board demands and deliver equity of access to high quality healthcare for as many patients as possible so that they benefit from our clinical expertise and excellent facilities. </w:t>
      </w:r>
    </w:p>
    <w:p w:rsidR="00837308" w:rsidRDefault="00837308" w:rsidP="00837308">
      <w:pPr>
        <w:ind w:left="57"/>
        <w:jc w:val="both"/>
        <w:outlineLvl w:val="0"/>
        <w:rPr>
          <w:rFonts w:ascii="Arial" w:hAnsi="Arial" w:cs="Arial"/>
        </w:rPr>
      </w:pPr>
    </w:p>
    <w:p w:rsidR="009002EA" w:rsidRPr="00EF39DF" w:rsidRDefault="009002EA" w:rsidP="00837308">
      <w:pPr>
        <w:ind w:left="57"/>
        <w:jc w:val="both"/>
        <w:outlineLvl w:val="0"/>
        <w:rPr>
          <w:rFonts w:ascii="Arial" w:hAnsi="Arial" w:cs="Arial"/>
        </w:rPr>
      </w:pPr>
    </w:p>
    <w:p w:rsidR="00837308" w:rsidRPr="00EF39DF" w:rsidRDefault="00837308" w:rsidP="00837308">
      <w:pPr>
        <w:pStyle w:val="ListParagraph"/>
        <w:numPr>
          <w:ilvl w:val="0"/>
          <w:numId w:val="3"/>
        </w:numPr>
        <w:outlineLvl w:val="0"/>
        <w:rPr>
          <w:rFonts w:ascii="Arial" w:hAnsi="Arial" w:cs="Arial"/>
          <w:b/>
          <w:sz w:val="24"/>
          <w:szCs w:val="24"/>
        </w:rPr>
      </w:pPr>
      <w:r w:rsidRPr="00EF39DF">
        <w:rPr>
          <w:rFonts w:ascii="Arial" w:hAnsi="Arial" w:cs="Arial"/>
          <w:b/>
          <w:sz w:val="24"/>
          <w:szCs w:val="24"/>
        </w:rPr>
        <w:t xml:space="preserve">How </w:t>
      </w:r>
      <w:r w:rsidR="00833444">
        <w:rPr>
          <w:rFonts w:ascii="Arial" w:hAnsi="Arial" w:cs="Arial"/>
          <w:b/>
          <w:sz w:val="24"/>
          <w:szCs w:val="24"/>
        </w:rPr>
        <w:t xml:space="preserve">we </w:t>
      </w:r>
      <w:r w:rsidRPr="00EF39DF">
        <w:rPr>
          <w:rFonts w:ascii="Arial" w:hAnsi="Arial" w:cs="Arial"/>
          <w:b/>
          <w:sz w:val="24"/>
          <w:szCs w:val="24"/>
        </w:rPr>
        <w:t>prepared for D</w:t>
      </w:r>
      <w:r w:rsidR="00833444">
        <w:rPr>
          <w:rFonts w:ascii="Arial" w:hAnsi="Arial" w:cs="Arial"/>
          <w:b/>
          <w:sz w:val="24"/>
          <w:szCs w:val="24"/>
        </w:rPr>
        <w:t xml:space="preserve">uty </w:t>
      </w:r>
      <w:r w:rsidRPr="00EF39DF">
        <w:rPr>
          <w:rFonts w:ascii="Arial" w:hAnsi="Arial" w:cs="Arial"/>
          <w:b/>
          <w:sz w:val="24"/>
          <w:szCs w:val="24"/>
        </w:rPr>
        <w:t>o</w:t>
      </w:r>
      <w:r w:rsidR="00833444">
        <w:rPr>
          <w:rFonts w:ascii="Arial" w:hAnsi="Arial" w:cs="Arial"/>
          <w:b/>
          <w:sz w:val="24"/>
          <w:szCs w:val="24"/>
        </w:rPr>
        <w:t xml:space="preserve">f </w:t>
      </w:r>
      <w:r w:rsidRPr="00EF39DF">
        <w:rPr>
          <w:rFonts w:ascii="Arial" w:hAnsi="Arial" w:cs="Arial"/>
          <w:b/>
          <w:sz w:val="24"/>
          <w:szCs w:val="24"/>
        </w:rPr>
        <w:t>C</w:t>
      </w:r>
      <w:r w:rsidR="00833444">
        <w:rPr>
          <w:rFonts w:ascii="Arial" w:hAnsi="Arial" w:cs="Arial"/>
          <w:b/>
          <w:sz w:val="24"/>
          <w:szCs w:val="24"/>
        </w:rPr>
        <w:t>andour</w:t>
      </w:r>
    </w:p>
    <w:p w:rsidR="00837308" w:rsidRPr="00EF39DF" w:rsidRDefault="00837308" w:rsidP="00837308">
      <w:pPr>
        <w:outlineLvl w:val="0"/>
        <w:rPr>
          <w:rFonts w:ascii="Arial" w:hAnsi="Arial" w:cs="Arial"/>
        </w:rPr>
      </w:pPr>
    </w:p>
    <w:p w:rsidR="00837308" w:rsidRPr="00EF39DF" w:rsidRDefault="00837308" w:rsidP="00837308">
      <w:pPr>
        <w:ind w:left="426"/>
        <w:outlineLvl w:val="0"/>
        <w:rPr>
          <w:rFonts w:ascii="Arial" w:hAnsi="Arial" w:cs="Arial"/>
        </w:rPr>
      </w:pPr>
      <w:r w:rsidRPr="00EF39DF">
        <w:rPr>
          <w:rFonts w:ascii="Arial" w:hAnsi="Arial" w:cs="Arial"/>
        </w:rPr>
        <w:t xml:space="preserve">In preparing for the DoC legislation going live we held a number of drop in to ensure staff were aware of the legislation and requirements ahead of the implementation date. There was also presentation and discussion at Clinical Governance Forums and local meetings. Approximately 150 staff attended some form of awareness sessions.  </w:t>
      </w:r>
    </w:p>
    <w:p w:rsidR="00837308" w:rsidRPr="00EF39DF" w:rsidRDefault="00837308" w:rsidP="00837308">
      <w:pPr>
        <w:ind w:left="426"/>
        <w:outlineLvl w:val="0"/>
        <w:rPr>
          <w:rFonts w:ascii="Arial" w:hAnsi="Arial" w:cs="Arial"/>
        </w:rPr>
      </w:pPr>
    </w:p>
    <w:p w:rsidR="00837308" w:rsidRPr="00EF39DF" w:rsidRDefault="00837308" w:rsidP="00837308">
      <w:pPr>
        <w:ind w:left="426"/>
        <w:outlineLvl w:val="0"/>
        <w:rPr>
          <w:rFonts w:ascii="Arial" w:hAnsi="Arial" w:cs="Arial"/>
        </w:rPr>
      </w:pPr>
      <w:r w:rsidRPr="00EF39DF">
        <w:rPr>
          <w:rFonts w:ascii="Arial" w:hAnsi="Arial" w:cs="Arial"/>
        </w:rPr>
        <w:t>The national DoC e-learning module has been made available to all staff.  There ha</w:t>
      </w:r>
      <w:r w:rsidR="00833444">
        <w:rPr>
          <w:rFonts w:ascii="Arial" w:hAnsi="Arial" w:cs="Arial"/>
        </w:rPr>
        <w:t xml:space="preserve">s </w:t>
      </w:r>
      <w:r w:rsidRPr="00EF39DF">
        <w:rPr>
          <w:rFonts w:ascii="Arial" w:hAnsi="Arial" w:cs="Arial"/>
        </w:rPr>
        <w:t xml:space="preserve">been ongoing discussions with Medical and Clinical Education regarding education and support for staff in relation to having discussions with patients/ relatives affected by these events.  As a result, a series of workshops </w:t>
      </w:r>
      <w:r w:rsidR="00833444">
        <w:rPr>
          <w:rFonts w:ascii="Arial" w:hAnsi="Arial" w:cs="Arial"/>
        </w:rPr>
        <w:t xml:space="preserve">were </w:t>
      </w:r>
      <w:r w:rsidRPr="00EF39DF">
        <w:rPr>
          <w:rFonts w:ascii="Arial" w:hAnsi="Arial" w:cs="Arial"/>
        </w:rPr>
        <w:t>organised entitled ‘Breaking Bad News’.  These have been targeted at all staff involved in these difficult conversations and are being facilitated by Dorothy Armstrong, DA Professional.</w:t>
      </w:r>
    </w:p>
    <w:p w:rsidR="00837308" w:rsidRDefault="00837308" w:rsidP="00837308">
      <w:pPr>
        <w:ind w:left="57"/>
        <w:jc w:val="both"/>
        <w:outlineLvl w:val="0"/>
        <w:rPr>
          <w:rFonts w:ascii="Arial" w:hAnsi="Arial" w:cs="Arial"/>
        </w:rPr>
      </w:pPr>
    </w:p>
    <w:p w:rsidR="009002EA" w:rsidRPr="00EF39DF" w:rsidRDefault="009002EA" w:rsidP="00837308">
      <w:pPr>
        <w:ind w:left="57"/>
        <w:jc w:val="both"/>
        <w:outlineLvl w:val="0"/>
        <w:rPr>
          <w:rFonts w:ascii="Arial" w:hAnsi="Arial" w:cs="Arial"/>
        </w:rPr>
      </w:pPr>
    </w:p>
    <w:p w:rsidR="00837308" w:rsidRPr="00EF39DF" w:rsidRDefault="00837308" w:rsidP="00837308">
      <w:pPr>
        <w:pStyle w:val="ListParagraph"/>
        <w:numPr>
          <w:ilvl w:val="0"/>
          <w:numId w:val="3"/>
        </w:numPr>
        <w:jc w:val="both"/>
        <w:outlineLvl w:val="0"/>
        <w:rPr>
          <w:rFonts w:ascii="Arial" w:hAnsi="Arial" w:cs="Arial"/>
          <w:b/>
          <w:sz w:val="24"/>
          <w:szCs w:val="24"/>
        </w:rPr>
      </w:pPr>
      <w:r w:rsidRPr="00EF39DF">
        <w:rPr>
          <w:rFonts w:ascii="Arial" w:hAnsi="Arial" w:cs="Arial"/>
          <w:b/>
          <w:sz w:val="24"/>
          <w:szCs w:val="24"/>
        </w:rPr>
        <w:t xml:space="preserve">Our </w:t>
      </w:r>
      <w:r w:rsidR="00A1518A">
        <w:rPr>
          <w:rFonts w:ascii="Arial" w:hAnsi="Arial" w:cs="Arial"/>
          <w:b/>
          <w:sz w:val="24"/>
          <w:szCs w:val="24"/>
        </w:rPr>
        <w:t>p</w:t>
      </w:r>
      <w:r w:rsidRPr="00EF39DF">
        <w:rPr>
          <w:rFonts w:ascii="Arial" w:hAnsi="Arial" w:cs="Arial"/>
          <w:b/>
          <w:sz w:val="24"/>
          <w:szCs w:val="24"/>
        </w:rPr>
        <w:t xml:space="preserve">olicies and </w:t>
      </w:r>
      <w:r w:rsidR="00A1518A">
        <w:rPr>
          <w:rFonts w:ascii="Arial" w:hAnsi="Arial" w:cs="Arial"/>
          <w:b/>
          <w:sz w:val="24"/>
          <w:szCs w:val="24"/>
        </w:rPr>
        <w:t>p</w:t>
      </w:r>
      <w:r w:rsidRPr="00EF39DF">
        <w:rPr>
          <w:rFonts w:ascii="Arial" w:hAnsi="Arial" w:cs="Arial"/>
          <w:b/>
          <w:sz w:val="24"/>
          <w:szCs w:val="24"/>
        </w:rPr>
        <w:t>rocedures</w:t>
      </w:r>
    </w:p>
    <w:p w:rsidR="00837308" w:rsidRPr="00EF39DF" w:rsidRDefault="00837308" w:rsidP="00837308">
      <w:pPr>
        <w:jc w:val="both"/>
        <w:outlineLvl w:val="0"/>
        <w:rPr>
          <w:rFonts w:ascii="Arial" w:hAnsi="Arial" w:cs="Arial"/>
        </w:rPr>
      </w:pPr>
    </w:p>
    <w:p w:rsidR="00837308" w:rsidRPr="00EF39DF" w:rsidRDefault="00837308" w:rsidP="00837308">
      <w:pPr>
        <w:ind w:left="426"/>
        <w:outlineLvl w:val="0"/>
        <w:rPr>
          <w:rFonts w:ascii="Arial" w:hAnsi="Arial" w:cs="Arial"/>
        </w:rPr>
      </w:pPr>
      <w:r w:rsidRPr="00EF39DF">
        <w:rPr>
          <w:rFonts w:ascii="Arial" w:hAnsi="Arial" w:cs="Arial"/>
        </w:rPr>
        <w:t>Each Adverse Event is reported and reviewed via the Datix system.  The procedure for reviewing each level of incident is set out in the Adverse Events Management policy.  The Adverse Events Management policy and supporting tools/ guidance have been updated to reflect the introduction of DoC.  The decision on DoC is built into the S</w:t>
      </w:r>
      <w:r w:rsidR="00A1518A">
        <w:rPr>
          <w:rFonts w:ascii="Arial" w:hAnsi="Arial" w:cs="Arial"/>
        </w:rPr>
        <w:t xml:space="preserve">ignificant </w:t>
      </w:r>
      <w:r w:rsidRPr="00EF39DF">
        <w:rPr>
          <w:rFonts w:ascii="Arial" w:hAnsi="Arial" w:cs="Arial"/>
        </w:rPr>
        <w:t>A</w:t>
      </w:r>
      <w:r w:rsidR="00A1518A">
        <w:rPr>
          <w:rFonts w:ascii="Arial" w:hAnsi="Arial" w:cs="Arial"/>
        </w:rPr>
        <w:t xml:space="preserve">dverse </w:t>
      </w:r>
      <w:r w:rsidRPr="00EF39DF">
        <w:rPr>
          <w:rFonts w:ascii="Arial" w:hAnsi="Arial" w:cs="Arial"/>
        </w:rPr>
        <w:t>E</w:t>
      </w:r>
      <w:r w:rsidR="00A1518A">
        <w:rPr>
          <w:rFonts w:ascii="Arial" w:hAnsi="Arial" w:cs="Arial"/>
        </w:rPr>
        <w:t>vent (SAE)</w:t>
      </w:r>
      <w:r w:rsidRPr="00EF39DF">
        <w:rPr>
          <w:rFonts w:ascii="Arial" w:hAnsi="Arial" w:cs="Arial"/>
        </w:rPr>
        <w:t xml:space="preserve"> review process.  Legislation requires that a clinical person must make the final decision; this process is led by the appropriate Division C</w:t>
      </w:r>
      <w:r w:rsidR="00833444">
        <w:rPr>
          <w:rFonts w:ascii="Arial" w:hAnsi="Arial" w:cs="Arial"/>
        </w:rPr>
        <w:t xml:space="preserve">linical </w:t>
      </w:r>
      <w:r w:rsidRPr="00EF39DF">
        <w:rPr>
          <w:rFonts w:ascii="Arial" w:hAnsi="Arial" w:cs="Arial"/>
        </w:rPr>
        <w:t>G</w:t>
      </w:r>
      <w:r w:rsidR="00833444">
        <w:rPr>
          <w:rFonts w:ascii="Arial" w:hAnsi="Arial" w:cs="Arial"/>
        </w:rPr>
        <w:t xml:space="preserve">overnance </w:t>
      </w:r>
      <w:r w:rsidRPr="00EF39DF">
        <w:rPr>
          <w:rFonts w:ascii="Arial" w:hAnsi="Arial" w:cs="Arial"/>
        </w:rPr>
        <w:t>lead and approved by the Division D</w:t>
      </w:r>
      <w:r w:rsidR="00833444">
        <w:rPr>
          <w:rFonts w:ascii="Arial" w:hAnsi="Arial" w:cs="Arial"/>
        </w:rPr>
        <w:t xml:space="preserve">ivisional </w:t>
      </w:r>
      <w:r w:rsidRPr="00EF39DF">
        <w:rPr>
          <w:rFonts w:ascii="Arial" w:hAnsi="Arial" w:cs="Arial"/>
        </w:rPr>
        <w:t>M</w:t>
      </w:r>
      <w:r w:rsidR="00833444">
        <w:rPr>
          <w:rFonts w:ascii="Arial" w:hAnsi="Arial" w:cs="Arial"/>
        </w:rPr>
        <w:t xml:space="preserve">anagement </w:t>
      </w:r>
      <w:r w:rsidRPr="00EF39DF">
        <w:rPr>
          <w:rFonts w:ascii="Arial" w:hAnsi="Arial" w:cs="Arial"/>
        </w:rPr>
        <w:t>T</w:t>
      </w:r>
      <w:r w:rsidR="00833444">
        <w:rPr>
          <w:rFonts w:ascii="Arial" w:hAnsi="Arial" w:cs="Arial"/>
        </w:rPr>
        <w:t>eam</w:t>
      </w:r>
      <w:r w:rsidRPr="00EF39DF">
        <w:rPr>
          <w:rFonts w:ascii="Arial" w:hAnsi="Arial" w:cs="Arial"/>
        </w:rPr>
        <w:t>.</w:t>
      </w:r>
    </w:p>
    <w:p w:rsidR="00837308" w:rsidRPr="00EF39DF" w:rsidRDefault="00837308" w:rsidP="00837308">
      <w:pPr>
        <w:ind w:left="426"/>
        <w:jc w:val="both"/>
        <w:outlineLvl w:val="0"/>
        <w:rPr>
          <w:rFonts w:ascii="Arial" w:hAnsi="Arial" w:cs="Arial"/>
        </w:rPr>
      </w:pPr>
    </w:p>
    <w:p w:rsidR="00837308" w:rsidRPr="00EF39DF" w:rsidRDefault="00837308" w:rsidP="00837308">
      <w:pPr>
        <w:ind w:left="426"/>
        <w:outlineLvl w:val="0"/>
        <w:rPr>
          <w:rFonts w:ascii="Arial" w:hAnsi="Arial" w:cs="Arial"/>
        </w:rPr>
      </w:pPr>
      <w:r w:rsidRPr="00EF39DF">
        <w:rPr>
          <w:rFonts w:ascii="Arial" w:hAnsi="Arial" w:cs="Arial"/>
        </w:rPr>
        <w:t>Each event is reviewed with a focus on learning from what has happened, regardless of the level of harm.  If there is potential to learn from an error this should be harnessed and taken forward.  On completion of an adverse event</w:t>
      </w:r>
      <w:r w:rsidR="00A1518A">
        <w:rPr>
          <w:rFonts w:ascii="Arial" w:hAnsi="Arial" w:cs="Arial"/>
        </w:rPr>
        <w:t>,</w:t>
      </w:r>
      <w:r w:rsidRPr="00EF39DF">
        <w:rPr>
          <w:rFonts w:ascii="Arial" w:hAnsi="Arial" w:cs="Arial"/>
        </w:rPr>
        <w:t xml:space="preserve"> review actions are identified and these are monitored to completion via the Clinical Governance reporting framework.</w:t>
      </w:r>
    </w:p>
    <w:p w:rsidR="00837308" w:rsidRPr="00EF39DF" w:rsidRDefault="00837308" w:rsidP="00837308">
      <w:pPr>
        <w:ind w:left="426"/>
        <w:jc w:val="both"/>
        <w:outlineLvl w:val="0"/>
        <w:rPr>
          <w:rFonts w:ascii="Arial" w:hAnsi="Arial" w:cs="Arial"/>
        </w:rPr>
      </w:pPr>
    </w:p>
    <w:p w:rsidR="00837308" w:rsidRPr="00EF39DF" w:rsidRDefault="00837308" w:rsidP="00837308">
      <w:pPr>
        <w:ind w:left="426"/>
        <w:outlineLvl w:val="0"/>
        <w:rPr>
          <w:rFonts w:ascii="Arial" w:hAnsi="Arial" w:cs="Arial"/>
        </w:rPr>
      </w:pPr>
      <w:r w:rsidRPr="00EF39DF">
        <w:rPr>
          <w:rFonts w:ascii="Arial" w:hAnsi="Arial" w:cs="Arial"/>
        </w:rPr>
        <w:lastRenderedPageBreak/>
        <w:t xml:space="preserve">All staff receive training </w:t>
      </w:r>
      <w:r w:rsidR="00A1518A">
        <w:rPr>
          <w:rFonts w:ascii="Arial" w:hAnsi="Arial" w:cs="Arial"/>
        </w:rPr>
        <w:t xml:space="preserve">on </w:t>
      </w:r>
      <w:r w:rsidRPr="00EF39DF">
        <w:rPr>
          <w:rFonts w:ascii="Arial" w:hAnsi="Arial" w:cs="Arial"/>
        </w:rPr>
        <w:t xml:space="preserve">adverse event reporting and the implementation of </w:t>
      </w:r>
      <w:r w:rsidR="00A1518A">
        <w:rPr>
          <w:rFonts w:ascii="Arial" w:hAnsi="Arial" w:cs="Arial"/>
        </w:rPr>
        <w:t xml:space="preserve">the Duty </w:t>
      </w:r>
      <w:r w:rsidRPr="00EF39DF">
        <w:rPr>
          <w:rFonts w:ascii="Arial" w:hAnsi="Arial" w:cs="Arial"/>
        </w:rPr>
        <w:t>at corporate induction.  More in depth training is delivered to those responsible for reviewing incidents on Datix and a programme of Root Cause Analysis</w:t>
      </w:r>
      <w:r w:rsidR="00A1518A">
        <w:rPr>
          <w:rFonts w:ascii="Arial" w:hAnsi="Arial" w:cs="Arial"/>
        </w:rPr>
        <w:t>(RCA)</w:t>
      </w:r>
      <w:r w:rsidRPr="00EF39DF">
        <w:rPr>
          <w:rFonts w:ascii="Arial" w:hAnsi="Arial" w:cs="Arial"/>
        </w:rPr>
        <w:t xml:space="preserve"> training has been launched for staff who could potentially take part in a Significant Adverse Event investigation.</w:t>
      </w:r>
    </w:p>
    <w:p w:rsidR="00837308" w:rsidRPr="00EF39DF" w:rsidRDefault="00837308" w:rsidP="00837308">
      <w:pPr>
        <w:ind w:left="426"/>
        <w:jc w:val="both"/>
        <w:outlineLvl w:val="0"/>
        <w:rPr>
          <w:rFonts w:ascii="Arial" w:hAnsi="Arial" w:cs="Arial"/>
        </w:rPr>
      </w:pPr>
    </w:p>
    <w:p w:rsidR="00837308" w:rsidRPr="00EF39DF" w:rsidRDefault="00837308" w:rsidP="00837308">
      <w:pPr>
        <w:ind w:left="426"/>
        <w:jc w:val="both"/>
        <w:outlineLvl w:val="0"/>
        <w:rPr>
          <w:rFonts w:ascii="Arial" w:hAnsi="Arial" w:cs="Arial"/>
        </w:rPr>
      </w:pPr>
      <w:r w:rsidRPr="00EF39DF">
        <w:rPr>
          <w:rFonts w:ascii="Arial" w:hAnsi="Arial" w:cs="Arial"/>
        </w:rPr>
        <w:t>We know that being involved in a significant adverse event can be distressing for staff as well as those affected by the event.  We have support available to staff in the form of the formal line management structure.  In addition to this we have the Spiritual Care and Diversity Lead and the Occupational Health team who are available to provide staff support in different forms following significant adverse events, where required.</w:t>
      </w:r>
    </w:p>
    <w:p w:rsidR="00837308" w:rsidRPr="00EF39DF" w:rsidRDefault="00837308" w:rsidP="00837308">
      <w:pPr>
        <w:jc w:val="both"/>
        <w:outlineLvl w:val="0"/>
        <w:rPr>
          <w:rFonts w:ascii="Arial" w:hAnsi="Arial" w:cs="Arial"/>
        </w:rPr>
      </w:pPr>
      <w:r w:rsidRPr="00EF39DF">
        <w:rPr>
          <w:rFonts w:ascii="Arial" w:hAnsi="Arial" w:cs="Arial"/>
        </w:rPr>
        <w:t xml:space="preserve">  </w:t>
      </w:r>
    </w:p>
    <w:p w:rsidR="00837308" w:rsidRPr="00EF39DF" w:rsidRDefault="00837308" w:rsidP="00837308">
      <w:pPr>
        <w:pStyle w:val="Default"/>
        <w:ind w:left="284" w:hanging="284"/>
        <w:rPr>
          <w:b/>
          <w:bCs/>
        </w:rPr>
      </w:pPr>
    </w:p>
    <w:p w:rsidR="00837308" w:rsidRPr="00EF39DF" w:rsidRDefault="00837308" w:rsidP="00837308">
      <w:pPr>
        <w:pStyle w:val="Default"/>
        <w:numPr>
          <w:ilvl w:val="0"/>
          <w:numId w:val="3"/>
        </w:numPr>
      </w:pPr>
      <w:r w:rsidRPr="00EF39DF">
        <w:rPr>
          <w:b/>
          <w:bCs/>
        </w:rPr>
        <w:t>Significant Adverse Event (SAE) Activity 2018</w:t>
      </w:r>
      <w:r w:rsidR="00A1518A">
        <w:rPr>
          <w:b/>
          <w:bCs/>
        </w:rPr>
        <w:t>/</w:t>
      </w:r>
      <w:r w:rsidRPr="00EF39DF">
        <w:rPr>
          <w:b/>
          <w:bCs/>
        </w:rPr>
        <w:t>2019</w:t>
      </w:r>
    </w:p>
    <w:p w:rsidR="00837308" w:rsidRPr="00EF39DF" w:rsidRDefault="00837308" w:rsidP="00837308">
      <w:pPr>
        <w:pStyle w:val="Default"/>
      </w:pPr>
    </w:p>
    <w:p w:rsidR="00837308" w:rsidRPr="00EF39DF" w:rsidRDefault="00837308" w:rsidP="00837308">
      <w:pPr>
        <w:pStyle w:val="Default"/>
        <w:ind w:left="426"/>
      </w:pPr>
      <w:r w:rsidRPr="00EF39DF">
        <w:t>Between 1 April 2018 and 31 March 2019, there were 35 SAE’s reported.  The table below shows the breakdown of these in relation to type of investigation.  As outlined in our policy events may be investigated as Significant Adverse Event Reviews (SAE)</w:t>
      </w:r>
      <w:r w:rsidR="00A1518A">
        <w:t>,</w:t>
      </w:r>
      <w:r w:rsidRPr="00EF39DF">
        <w:t xml:space="preserve"> or if more complex</w:t>
      </w:r>
      <w:r w:rsidR="00A1518A">
        <w:t>,</w:t>
      </w:r>
      <w:r w:rsidRPr="00EF39DF">
        <w:t xml:space="preserve"> escalated for further review via Root Cause Analysis (RCA).  As shown we have had </w:t>
      </w:r>
      <w:r w:rsidR="00A1518A">
        <w:t>five</w:t>
      </w:r>
      <w:r w:rsidRPr="00EF39DF">
        <w:t xml:space="preserve"> DoC events in this 12 month period:</w:t>
      </w:r>
    </w:p>
    <w:p w:rsidR="00837308" w:rsidRPr="00EF39DF" w:rsidRDefault="00837308" w:rsidP="00837308">
      <w:pPr>
        <w:pStyle w:val="Default"/>
      </w:pPr>
    </w:p>
    <w:tbl>
      <w:tblPr>
        <w:tblW w:w="4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1604"/>
      </w:tblGrid>
      <w:tr w:rsidR="00837308" w:rsidRPr="00837308" w:rsidTr="0018280E">
        <w:trPr>
          <w:trHeight w:val="300"/>
          <w:jc w:val="center"/>
        </w:trPr>
        <w:tc>
          <w:tcPr>
            <w:tcW w:w="2709" w:type="dxa"/>
            <w:shd w:val="clear" w:color="auto" w:fill="auto"/>
            <w:noWrap/>
            <w:vAlign w:val="bottom"/>
            <w:hideMark/>
          </w:tcPr>
          <w:p w:rsidR="00837308" w:rsidRPr="00EF39DF" w:rsidRDefault="00837308" w:rsidP="0018280E">
            <w:pPr>
              <w:rPr>
                <w:rFonts w:ascii="Arial" w:hAnsi="Arial" w:cs="Arial"/>
                <w:b/>
                <w:color w:val="000000"/>
                <w:lang w:eastAsia="en-GB"/>
              </w:rPr>
            </w:pPr>
            <w:r w:rsidRPr="00EF39DF">
              <w:rPr>
                <w:rFonts w:ascii="Arial" w:hAnsi="Arial" w:cs="Arial"/>
                <w:b/>
                <w:color w:val="000000"/>
                <w:lang w:eastAsia="en-GB"/>
              </w:rPr>
              <w:t>Type of Review</w:t>
            </w:r>
          </w:p>
        </w:tc>
        <w:tc>
          <w:tcPr>
            <w:tcW w:w="1604" w:type="dxa"/>
            <w:shd w:val="clear" w:color="auto" w:fill="auto"/>
            <w:noWrap/>
            <w:vAlign w:val="bottom"/>
            <w:hideMark/>
          </w:tcPr>
          <w:p w:rsidR="00837308" w:rsidRPr="00EF39DF" w:rsidRDefault="00837308" w:rsidP="0018280E">
            <w:pPr>
              <w:jc w:val="center"/>
              <w:rPr>
                <w:rFonts w:ascii="Arial" w:hAnsi="Arial" w:cs="Arial"/>
                <w:b/>
                <w:color w:val="000000"/>
                <w:lang w:eastAsia="en-GB"/>
              </w:rPr>
            </w:pPr>
            <w:r w:rsidRPr="00EF39DF">
              <w:rPr>
                <w:rFonts w:ascii="Arial" w:hAnsi="Arial" w:cs="Arial"/>
                <w:b/>
                <w:color w:val="000000"/>
                <w:lang w:eastAsia="en-GB"/>
              </w:rPr>
              <w:t>No of events</w:t>
            </w:r>
          </w:p>
        </w:tc>
      </w:tr>
      <w:tr w:rsidR="00837308" w:rsidRPr="00837308" w:rsidTr="0018280E">
        <w:trPr>
          <w:trHeight w:val="300"/>
          <w:jc w:val="center"/>
        </w:trPr>
        <w:tc>
          <w:tcPr>
            <w:tcW w:w="2709" w:type="dxa"/>
            <w:shd w:val="clear" w:color="auto" w:fill="auto"/>
            <w:noWrap/>
            <w:vAlign w:val="bottom"/>
            <w:hideMark/>
          </w:tcPr>
          <w:p w:rsidR="00837308" w:rsidRPr="00EF39DF" w:rsidRDefault="00837308" w:rsidP="0018280E">
            <w:pPr>
              <w:rPr>
                <w:rFonts w:ascii="Arial" w:hAnsi="Arial" w:cs="Arial"/>
                <w:color w:val="000000"/>
                <w:lang w:eastAsia="en-GB"/>
              </w:rPr>
            </w:pPr>
            <w:r w:rsidRPr="00EF39DF">
              <w:rPr>
                <w:rFonts w:ascii="Arial" w:hAnsi="Arial" w:cs="Arial"/>
                <w:color w:val="000000"/>
                <w:lang w:eastAsia="en-GB"/>
              </w:rPr>
              <w:t>RCA</w:t>
            </w:r>
          </w:p>
        </w:tc>
        <w:tc>
          <w:tcPr>
            <w:tcW w:w="1604" w:type="dxa"/>
            <w:shd w:val="clear" w:color="auto" w:fill="auto"/>
            <w:noWrap/>
            <w:vAlign w:val="bottom"/>
            <w:hideMark/>
          </w:tcPr>
          <w:p w:rsidR="00837308" w:rsidRPr="00EF39DF" w:rsidRDefault="00837308" w:rsidP="0018280E">
            <w:pPr>
              <w:jc w:val="center"/>
              <w:rPr>
                <w:rFonts w:ascii="Arial" w:hAnsi="Arial" w:cs="Arial"/>
                <w:color w:val="000000"/>
                <w:lang w:eastAsia="en-GB"/>
              </w:rPr>
            </w:pPr>
            <w:r w:rsidRPr="00EF39DF">
              <w:rPr>
                <w:rFonts w:ascii="Arial" w:hAnsi="Arial" w:cs="Arial"/>
                <w:color w:val="000000"/>
                <w:lang w:eastAsia="en-GB"/>
              </w:rPr>
              <w:t>2</w:t>
            </w:r>
          </w:p>
        </w:tc>
      </w:tr>
      <w:tr w:rsidR="00837308" w:rsidRPr="00837308" w:rsidTr="0018280E">
        <w:trPr>
          <w:trHeight w:val="300"/>
          <w:jc w:val="center"/>
        </w:trPr>
        <w:tc>
          <w:tcPr>
            <w:tcW w:w="2709" w:type="dxa"/>
            <w:shd w:val="clear" w:color="auto" w:fill="auto"/>
            <w:noWrap/>
            <w:vAlign w:val="bottom"/>
            <w:hideMark/>
          </w:tcPr>
          <w:p w:rsidR="00837308" w:rsidRPr="00EF39DF" w:rsidRDefault="00837308" w:rsidP="0018280E">
            <w:pPr>
              <w:rPr>
                <w:rFonts w:ascii="Arial" w:hAnsi="Arial" w:cs="Arial"/>
                <w:color w:val="000000"/>
                <w:lang w:eastAsia="en-GB"/>
              </w:rPr>
            </w:pPr>
            <w:r w:rsidRPr="00EF39DF">
              <w:rPr>
                <w:rFonts w:ascii="Arial" w:hAnsi="Arial" w:cs="Arial"/>
                <w:color w:val="000000"/>
                <w:lang w:eastAsia="en-GB"/>
              </w:rPr>
              <w:t>RCA - DoC</w:t>
            </w:r>
          </w:p>
        </w:tc>
        <w:tc>
          <w:tcPr>
            <w:tcW w:w="1604" w:type="dxa"/>
            <w:shd w:val="clear" w:color="auto" w:fill="auto"/>
            <w:noWrap/>
            <w:vAlign w:val="bottom"/>
            <w:hideMark/>
          </w:tcPr>
          <w:p w:rsidR="00837308" w:rsidRPr="00EF39DF" w:rsidRDefault="00837308" w:rsidP="0018280E">
            <w:pPr>
              <w:jc w:val="center"/>
              <w:rPr>
                <w:rFonts w:ascii="Arial" w:hAnsi="Arial" w:cs="Arial"/>
                <w:color w:val="000000"/>
                <w:lang w:eastAsia="en-GB"/>
              </w:rPr>
            </w:pPr>
            <w:r w:rsidRPr="00EF39DF">
              <w:rPr>
                <w:rFonts w:ascii="Arial" w:hAnsi="Arial" w:cs="Arial"/>
                <w:color w:val="000000"/>
                <w:lang w:eastAsia="en-GB"/>
              </w:rPr>
              <w:t>4</w:t>
            </w:r>
          </w:p>
        </w:tc>
      </w:tr>
      <w:tr w:rsidR="00837308" w:rsidRPr="00837308" w:rsidTr="0018280E">
        <w:trPr>
          <w:trHeight w:val="300"/>
          <w:jc w:val="center"/>
        </w:trPr>
        <w:tc>
          <w:tcPr>
            <w:tcW w:w="2709" w:type="dxa"/>
            <w:shd w:val="clear" w:color="auto" w:fill="auto"/>
            <w:noWrap/>
            <w:vAlign w:val="bottom"/>
            <w:hideMark/>
          </w:tcPr>
          <w:p w:rsidR="00837308" w:rsidRPr="00EF39DF" w:rsidRDefault="00837308" w:rsidP="0018280E">
            <w:pPr>
              <w:rPr>
                <w:rFonts w:ascii="Arial" w:hAnsi="Arial" w:cs="Arial"/>
                <w:color w:val="000000"/>
                <w:lang w:eastAsia="en-GB"/>
              </w:rPr>
            </w:pPr>
            <w:r w:rsidRPr="00EF39DF">
              <w:rPr>
                <w:rFonts w:ascii="Arial" w:hAnsi="Arial" w:cs="Arial"/>
                <w:color w:val="000000"/>
                <w:lang w:eastAsia="en-GB"/>
              </w:rPr>
              <w:t>SAE</w:t>
            </w:r>
          </w:p>
        </w:tc>
        <w:tc>
          <w:tcPr>
            <w:tcW w:w="1604" w:type="dxa"/>
            <w:shd w:val="clear" w:color="auto" w:fill="auto"/>
            <w:noWrap/>
            <w:vAlign w:val="bottom"/>
            <w:hideMark/>
          </w:tcPr>
          <w:p w:rsidR="00837308" w:rsidRPr="00EF39DF" w:rsidRDefault="00837308" w:rsidP="0018280E">
            <w:pPr>
              <w:jc w:val="center"/>
              <w:rPr>
                <w:rFonts w:ascii="Arial" w:hAnsi="Arial" w:cs="Arial"/>
                <w:color w:val="000000"/>
                <w:lang w:eastAsia="en-GB"/>
              </w:rPr>
            </w:pPr>
            <w:r w:rsidRPr="00EF39DF">
              <w:rPr>
                <w:rFonts w:ascii="Arial" w:hAnsi="Arial" w:cs="Arial"/>
                <w:color w:val="000000"/>
                <w:lang w:eastAsia="en-GB"/>
              </w:rPr>
              <w:t>28</w:t>
            </w:r>
          </w:p>
        </w:tc>
      </w:tr>
      <w:tr w:rsidR="00837308" w:rsidRPr="00837308" w:rsidTr="0018280E">
        <w:trPr>
          <w:trHeight w:val="300"/>
          <w:jc w:val="center"/>
        </w:trPr>
        <w:tc>
          <w:tcPr>
            <w:tcW w:w="2709" w:type="dxa"/>
            <w:shd w:val="clear" w:color="auto" w:fill="auto"/>
            <w:noWrap/>
            <w:vAlign w:val="bottom"/>
          </w:tcPr>
          <w:p w:rsidR="00837308" w:rsidRPr="00EF39DF" w:rsidRDefault="00837308" w:rsidP="0018280E">
            <w:pPr>
              <w:rPr>
                <w:rFonts w:ascii="Arial" w:hAnsi="Arial" w:cs="Arial"/>
                <w:color w:val="000000"/>
                <w:lang w:eastAsia="en-GB"/>
              </w:rPr>
            </w:pPr>
            <w:r w:rsidRPr="00EF39DF">
              <w:rPr>
                <w:rFonts w:ascii="Arial" w:hAnsi="Arial" w:cs="Arial"/>
                <w:color w:val="000000"/>
                <w:lang w:eastAsia="en-GB"/>
              </w:rPr>
              <w:t>SAE – DoC</w:t>
            </w:r>
          </w:p>
        </w:tc>
        <w:tc>
          <w:tcPr>
            <w:tcW w:w="1604" w:type="dxa"/>
            <w:shd w:val="clear" w:color="auto" w:fill="auto"/>
            <w:noWrap/>
            <w:vAlign w:val="bottom"/>
          </w:tcPr>
          <w:p w:rsidR="00837308" w:rsidRPr="00EF39DF" w:rsidRDefault="00837308" w:rsidP="0018280E">
            <w:pPr>
              <w:jc w:val="center"/>
              <w:rPr>
                <w:rFonts w:ascii="Arial" w:hAnsi="Arial" w:cs="Arial"/>
                <w:color w:val="000000"/>
                <w:lang w:eastAsia="en-GB"/>
              </w:rPr>
            </w:pPr>
            <w:r w:rsidRPr="00EF39DF">
              <w:rPr>
                <w:rFonts w:ascii="Arial" w:hAnsi="Arial" w:cs="Arial"/>
                <w:color w:val="000000"/>
                <w:lang w:eastAsia="en-GB"/>
              </w:rPr>
              <w:t>1</w:t>
            </w:r>
          </w:p>
        </w:tc>
      </w:tr>
    </w:tbl>
    <w:p w:rsidR="00837308" w:rsidRPr="00EF39DF" w:rsidRDefault="00837308" w:rsidP="00837308">
      <w:pPr>
        <w:pStyle w:val="Default"/>
        <w:rPr>
          <w:color w:val="auto"/>
        </w:rPr>
      </w:pPr>
    </w:p>
    <w:p w:rsidR="00837308" w:rsidRDefault="00837308" w:rsidP="00EF39DF">
      <w:pPr>
        <w:pStyle w:val="Default"/>
        <w:ind w:left="360"/>
      </w:pPr>
      <w:r w:rsidRPr="00EF39DF">
        <w:t>There were two events that were reviewed as an RCA event that did not trigger the D</w:t>
      </w:r>
      <w:r w:rsidR="00A1518A">
        <w:t xml:space="preserve">uty </w:t>
      </w:r>
      <w:r w:rsidRPr="00EF39DF">
        <w:t>o</w:t>
      </w:r>
      <w:r w:rsidR="00A1518A">
        <w:t xml:space="preserve">f </w:t>
      </w:r>
      <w:r w:rsidRPr="00EF39DF">
        <w:t>C</w:t>
      </w:r>
      <w:r w:rsidR="00A1518A">
        <w:t>andour (DoC)</w:t>
      </w:r>
      <w:r w:rsidRPr="00EF39DF">
        <w:t xml:space="preserve">.  Regardless of DoC status, contact with patients and families to advise of an event and investigation is undertaken.  </w:t>
      </w:r>
    </w:p>
    <w:p w:rsidR="000D60CE" w:rsidRDefault="000D60CE" w:rsidP="00EF39DF">
      <w:pPr>
        <w:pStyle w:val="Default"/>
        <w:ind w:left="360"/>
      </w:pPr>
    </w:p>
    <w:p w:rsidR="000D60CE" w:rsidRPr="00EF39DF" w:rsidRDefault="000D60CE" w:rsidP="00EF39DF">
      <w:pPr>
        <w:pStyle w:val="Default"/>
        <w:ind w:left="360"/>
      </w:pPr>
      <w:r>
        <w:t xml:space="preserve">All SAE’s have been reviewed via the Clinical Governance Committee structure as means of a further scrutiny regarding the DoC status.  Sharing of these is also a useful learning resource for clinicians.      </w:t>
      </w:r>
    </w:p>
    <w:p w:rsidR="00837308" w:rsidRPr="00EF39DF" w:rsidRDefault="00837308" w:rsidP="00837308">
      <w:pPr>
        <w:pStyle w:val="Default"/>
      </w:pPr>
    </w:p>
    <w:p w:rsidR="00837308" w:rsidRPr="00EF39DF" w:rsidRDefault="00837308" w:rsidP="00837308">
      <w:pPr>
        <w:pStyle w:val="Default"/>
        <w:numPr>
          <w:ilvl w:val="0"/>
          <w:numId w:val="3"/>
        </w:numPr>
        <w:rPr>
          <w:b/>
        </w:rPr>
      </w:pPr>
      <w:r w:rsidRPr="00EF39DF">
        <w:rPr>
          <w:b/>
        </w:rPr>
        <w:t>D</w:t>
      </w:r>
      <w:r w:rsidR="00A1518A">
        <w:rPr>
          <w:b/>
        </w:rPr>
        <w:t xml:space="preserve">uty </w:t>
      </w:r>
      <w:r w:rsidRPr="00EF39DF">
        <w:rPr>
          <w:b/>
        </w:rPr>
        <w:t>o</w:t>
      </w:r>
      <w:r w:rsidR="00A1518A">
        <w:rPr>
          <w:b/>
        </w:rPr>
        <w:t xml:space="preserve">f </w:t>
      </w:r>
      <w:r w:rsidRPr="00EF39DF">
        <w:rPr>
          <w:b/>
        </w:rPr>
        <w:t>C</w:t>
      </w:r>
      <w:r w:rsidR="00A1518A">
        <w:rPr>
          <w:b/>
        </w:rPr>
        <w:t>andour</w:t>
      </w:r>
      <w:r w:rsidRPr="00EF39DF">
        <w:rPr>
          <w:b/>
        </w:rPr>
        <w:t xml:space="preserve"> Events </w:t>
      </w:r>
    </w:p>
    <w:p w:rsidR="00837308" w:rsidRPr="00EF39DF" w:rsidRDefault="00837308" w:rsidP="00837308">
      <w:pPr>
        <w:pStyle w:val="Default"/>
      </w:pPr>
    </w:p>
    <w:p w:rsidR="00837308" w:rsidRPr="00EF39DF" w:rsidRDefault="00837308" w:rsidP="00837308">
      <w:pPr>
        <w:pStyle w:val="Default"/>
        <w:ind w:left="426"/>
      </w:pPr>
      <w:r w:rsidRPr="00EF39DF">
        <w:t xml:space="preserve">Of the </w:t>
      </w:r>
      <w:r w:rsidR="00A1518A">
        <w:t>five</w:t>
      </w:r>
      <w:r w:rsidRPr="00EF39DF">
        <w:t xml:space="preserve"> events that triggered the DoC, </w:t>
      </w:r>
      <w:r w:rsidR="00A1518A">
        <w:t xml:space="preserve">four </w:t>
      </w:r>
      <w:r w:rsidRPr="00EF39DF">
        <w:t xml:space="preserve"> followed the DoC process including meeting the 90 day timescale for completion of the review process.  Each party was spoken to either face to face or via telephone and this was also confirmed in writing.  The patient/families were kept updated throughout the process and received a copy of the final report along with an invitation to meet with staff involved to discuss the report.  To date, none of these offers have been accepted.</w:t>
      </w:r>
    </w:p>
    <w:p w:rsidR="00837308" w:rsidRPr="00EF39DF" w:rsidRDefault="00837308" w:rsidP="00837308">
      <w:pPr>
        <w:pStyle w:val="Default"/>
        <w:ind w:left="426"/>
      </w:pPr>
    </w:p>
    <w:p w:rsidR="00837308" w:rsidRPr="00EF39DF" w:rsidRDefault="00837308" w:rsidP="00837308">
      <w:pPr>
        <w:pStyle w:val="Default"/>
        <w:ind w:left="426"/>
      </w:pPr>
      <w:r w:rsidRPr="00EF39DF">
        <w:t>All of the patients/families involved in these DoC events were advised of the process from the initial stages and were given the opportunity to contribute to the Terms of Reference for the investigation.</w:t>
      </w:r>
    </w:p>
    <w:p w:rsidR="00837308" w:rsidRPr="00EF39DF" w:rsidRDefault="00837308" w:rsidP="00837308">
      <w:pPr>
        <w:pStyle w:val="Default"/>
        <w:ind w:left="426"/>
      </w:pPr>
    </w:p>
    <w:p w:rsidR="00837308" w:rsidRPr="00EF39DF" w:rsidRDefault="00837308" w:rsidP="00837308">
      <w:pPr>
        <w:pStyle w:val="Default"/>
        <w:ind w:left="426"/>
      </w:pPr>
      <w:r w:rsidRPr="00EF39DF">
        <w:t>The event that did not follow the DoC process was a complex and sensitive case, it also involved a</w:t>
      </w:r>
      <w:r w:rsidR="00A1518A">
        <w:t>n</w:t>
      </w:r>
      <w:r w:rsidRPr="00EF39DF">
        <w:t xml:space="preserve"> event which automatically triggered an RCA and it was only during the review </w:t>
      </w:r>
      <w:r w:rsidRPr="00EF39DF">
        <w:lastRenderedPageBreak/>
        <w:t>process that the DoC trigger was realised.  Due to the sensitivity of the case</w:t>
      </w:r>
      <w:r w:rsidR="00A1518A">
        <w:t>,</w:t>
      </w:r>
      <w:r w:rsidRPr="00EF39DF">
        <w:t xml:space="preserve"> additional meetings to ensure the report was accurate and appropriately investigated took place which meant the timeline was not achieved.  The report has been finalised and arrangements are being made to share the findings with the patient’s family.</w:t>
      </w:r>
    </w:p>
    <w:p w:rsidR="00837308" w:rsidRPr="00EF39DF" w:rsidRDefault="00837308" w:rsidP="00837308">
      <w:pPr>
        <w:pStyle w:val="Default"/>
        <w:ind w:left="426"/>
      </w:pPr>
    </w:p>
    <w:p w:rsidR="00837308" w:rsidRDefault="00837308" w:rsidP="00837308">
      <w:pPr>
        <w:pStyle w:val="Default"/>
        <w:ind w:left="426"/>
      </w:pPr>
      <w:r w:rsidRPr="00EF39DF">
        <w:t>The DoC event that did not progress to RCA review was subject to a robust Significant Adverse Event review.  Learning was identified and actioned via the appropriate multidisciplinary forums.  On review it was felt that the investigation that had been undertaken was sufficient and no further learning would be identified by conducting another multidisciplinary review via RCA.  The DoC process was followed; the review was discussed with the patient and the consultant involved at a follow up appointment and a hard copy of the investigation report was sent to the patient for information.</w:t>
      </w:r>
    </w:p>
    <w:p w:rsidR="00A1518A" w:rsidRPr="00EF39DF" w:rsidRDefault="00A1518A" w:rsidP="00837308">
      <w:pPr>
        <w:pStyle w:val="Default"/>
        <w:ind w:left="426"/>
      </w:pPr>
    </w:p>
    <w:p w:rsidR="00837308" w:rsidRPr="00EF39DF" w:rsidRDefault="00837308" w:rsidP="00837308">
      <w:pPr>
        <w:pStyle w:val="Default"/>
        <w:numPr>
          <w:ilvl w:val="0"/>
          <w:numId w:val="3"/>
        </w:numPr>
        <w:rPr>
          <w:b/>
        </w:rPr>
      </w:pPr>
      <w:r w:rsidRPr="00EF39DF">
        <w:rPr>
          <w:b/>
        </w:rPr>
        <w:t>Learning</w:t>
      </w:r>
    </w:p>
    <w:p w:rsidR="00837308" w:rsidRPr="00EF39DF" w:rsidRDefault="00837308" w:rsidP="00837308">
      <w:pPr>
        <w:pStyle w:val="Default"/>
      </w:pPr>
    </w:p>
    <w:p w:rsidR="00837308" w:rsidRPr="00EF39DF" w:rsidRDefault="00837308" w:rsidP="00837308">
      <w:pPr>
        <w:pStyle w:val="Default"/>
        <w:ind w:left="426"/>
        <w:rPr>
          <w:color w:val="auto"/>
        </w:rPr>
      </w:pPr>
      <w:r w:rsidRPr="00EF39DF">
        <w:rPr>
          <w:color w:val="auto"/>
        </w:rPr>
        <w:t>Further to the review of the events that triggered the DoC</w:t>
      </w:r>
      <w:r w:rsidR="00A1518A">
        <w:rPr>
          <w:color w:val="auto"/>
        </w:rPr>
        <w:t>,</w:t>
      </w:r>
      <w:r w:rsidRPr="00EF39DF">
        <w:rPr>
          <w:color w:val="auto"/>
        </w:rPr>
        <w:t xml:space="preserve"> various learning points were identified.  Some of this learning currently being implemented includes:</w:t>
      </w:r>
    </w:p>
    <w:p w:rsidR="00837308" w:rsidRPr="00EF39DF" w:rsidRDefault="00837308" w:rsidP="00837308">
      <w:pPr>
        <w:pStyle w:val="Default"/>
        <w:rPr>
          <w:color w:val="auto"/>
        </w:rPr>
      </w:pPr>
    </w:p>
    <w:p w:rsidR="00837308" w:rsidRPr="00EF39DF" w:rsidRDefault="00837308" w:rsidP="00837308">
      <w:pPr>
        <w:pStyle w:val="Default"/>
        <w:numPr>
          <w:ilvl w:val="0"/>
          <w:numId w:val="1"/>
        </w:numPr>
        <w:ind w:left="993"/>
        <w:rPr>
          <w:color w:val="auto"/>
        </w:rPr>
      </w:pPr>
      <w:r w:rsidRPr="00EF39DF">
        <w:rPr>
          <w:color w:val="auto"/>
        </w:rPr>
        <w:t>Revised process for issuing death certificates to ensure this is properly explained to relatives.</w:t>
      </w:r>
    </w:p>
    <w:p w:rsidR="00837308" w:rsidRPr="00EF39DF" w:rsidRDefault="00837308" w:rsidP="00837308">
      <w:pPr>
        <w:pStyle w:val="Default"/>
        <w:numPr>
          <w:ilvl w:val="0"/>
          <w:numId w:val="1"/>
        </w:numPr>
        <w:ind w:left="993"/>
        <w:rPr>
          <w:color w:val="auto"/>
        </w:rPr>
      </w:pPr>
      <w:r w:rsidRPr="00EF39DF">
        <w:rPr>
          <w:color w:val="auto"/>
        </w:rPr>
        <w:t>Development of a protocol for a debrief process for all deaths that occur in theatre.</w:t>
      </w:r>
    </w:p>
    <w:p w:rsidR="00837308" w:rsidRPr="00EF39DF" w:rsidRDefault="00837308" w:rsidP="00837308">
      <w:pPr>
        <w:pStyle w:val="Default"/>
        <w:numPr>
          <w:ilvl w:val="0"/>
          <w:numId w:val="1"/>
        </w:numPr>
        <w:ind w:left="993"/>
        <w:rPr>
          <w:color w:val="auto"/>
        </w:rPr>
      </w:pPr>
      <w:r w:rsidRPr="00EF39DF">
        <w:rPr>
          <w:color w:val="auto"/>
        </w:rPr>
        <w:t>Development of a protocol for nasogastric tubes used where there is a suspicion of ileus or abdominal deterioration.</w:t>
      </w:r>
    </w:p>
    <w:p w:rsidR="00837308" w:rsidRPr="00EF39DF" w:rsidRDefault="00837308" w:rsidP="00837308">
      <w:pPr>
        <w:pStyle w:val="Default"/>
        <w:numPr>
          <w:ilvl w:val="0"/>
          <w:numId w:val="1"/>
        </w:numPr>
        <w:ind w:left="993"/>
        <w:rPr>
          <w:color w:val="auto"/>
        </w:rPr>
      </w:pPr>
      <w:r w:rsidRPr="00EF39DF">
        <w:rPr>
          <w:color w:val="auto"/>
        </w:rPr>
        <w:t>Development of scenario based refresher training in emergency procedures for theatre staff.</w:t>
      </w:r>
    </w:p>
    <w:p w:rsidR="00837308" w:rsidRPr="00EF39DF" w:rsidRDefault="00837308" w:rsidP="00837308">
      <w:pPr>
        <w:pStyle w:val="Default"/>
        <w:numPr>
          <w:ilvl w:val="0"/>
          <w:numId w:val="1"/>
        </w:numPr>
        <w:ind w:left="993"/>
        <w:rPr>
          <w:color w:val="auto"/>
        </w:rPr>
      </w:pPr>
      <w:r w:rsidRPr="00EF39DF">
        <w:rPr>
          <w:color w:val="auto"/>
        </w:rPr>
        <w:t>Review of Pharmacy provision over the weekend</w:t>
      </w:r>
    </w:p>
    <w:p w:rsidR="00837308" w:rsidRPr="00EF39DF" w:rsidRDefault="00837308" w:rsidP="00837308">
      <w:pPr>
        <w:pStyle w:val="Default"/>
        <w:numPr>
          <w:ilvl w:val="0"/>
          <w:numId w:val="1"/>
        </w:numPr>
        <w:ind w:left="993"/>
        <w:rPr>
          <w:color w:val="auto"/>
        </w:rPr>
      </w:pPr>
      <w:r w:rsidRPr="00EF39DF">
        <w:rPr>
          <w:color w:val="auto"/>
        </w:rPr>
        <w:t>Development of standardised process/guidance regarding the use of anti-platelet therapy and anticoagulation</w:t>
      </w:r>
    </w:p>
    <w:p w:rsidR="009002EA" w:rsidRPr="00EF39DF" w:rsidRDefault="009002EA" w:rsidP="00837308">
      <w:pPr>
        <w:jc w:val="both"/>
        <w:rPr>
          <w:rFonts w:ascii="Arial" w:hAnsi="Arial" w:cs="Arial"/>
        </w:rPr>
      </w:pPr>
    </w:p>
    <w:p w:rsidR="00837308" w:rsidRPr="00EF39DF" w:rsidRDefault="00837308" w:rsidP="00837308">
      <w:pPr>
        <w:pStyle w:val="ListParagraph"/>
        <w:numPr>
          <w:ilvl w:val="0"/>
          <w:numId w:val="3"/>
        </w:numPr>
        <w:jc w:val="both"/>
        <w:rPr>
          <w:rFonts w:ascii="Arial" w:hAnsi="Arial" w:cs="Arial"/>
          <w:b/>
          <w:sz w:val="24"/>
          <w:szCs w:val="24"/>
        </w:rPr>
      </w:pPr>
      <w:r w:rsidRPr="00EF39DF">
        <w:rPr>
          <w:rFonts w:ascii="Arial" w:hAnsi="Arial" w:cs="Arial"/>
          <w:b/>
          <w:sz w:val="24"/>
          <w:szCs w:val="24"/>
        </w:rPr>
        <w:t>Conclusion</w:t>
      </w:r>
    </w:p>
    <w:p w:rsidR="00837308" w:rsidRPr="00EF39DF" w:rsidRDefault="00837308" w:rsidP="00837308">
      <w:pPr>
        <w:jc w:val="both"/>
        <w:rPr>
          <w:rFonts w:ascii="Arial" w:hAnsi="Arial" w:cs="Arial"/>
        </w:rPr>
      </w:pPr>
    </w:p>
    <w:p w:rsidR="00837308" w:rsidRPr="00EF39DF" w:rsidRDefault="00837308" w:rsidP="00837308">
      <w:pPr>
        <w:ind w:left="426"/>
        <w:rPr>
          <w:rFonts w:ascii="Arial" w:hAnsi="Arial" w:cs="Arial"/>
        </w:rPr>
      </w:pPr>
      <w:r w:rsidRPr="00EF39DF">
        <w:rPr>
          <w:rFonts w:ascii="Arial" w:hAnsi="Arial" w:cs="Arial"/>
        </w:rPr>
        <w:t>This is the first year of the D</w:t>
      </w:r>
      <w:r w:rsidR="00A1518A">
        <w:rPr>
          <w:rFonts w:ascii="Arial" w:hAnsi="Arial" w:cs="Arial"/>
        </w:rPr>
        <w:t xml:space="preserve">uty </w:t>
      </w:r>
      <w:r w:rsidRPr="00EF39DF">
        <w:rPr>
          <w:rFonts w:ascii="Arial" w:hAnsi="Arial" w:cs="Arial"/>
        </w:rPr>
        <w:t>o</w:t>
      </w:r>
      <w:r w:rsidR="00A1518A">
        <w:rPr>
          <w:rFonts w:ascii="Arial" w:hAnsi="Arial" w:cs="Arial"/>
        </w:rPr>
        <w:t xml:space="preserve">f </w:t>
      </w:r>
      <w:r w:rsidRPr="00EF39DF">
        <w:rPr>
          <w:rFonts w:ascii="Arial" w:hAnsi="Arial" w:cs="Arial"/>
        </w:rPr>
        <w:t>C</w:t>
      </w:r>
      <w:r w:rsidR="00A1518A">
        <w:rPr>
          <w:rFonts w:ascii="Arial" w:hAnsi="Arial" w:cs="Arial"/>
        </w:rPr>
        <w:t>andour</w:t>
      </w:r>
      <w:r w:rsidRPr="00EF39DF">
        <w:rPr>
          <w:rFonts w:ascii="Arial" w:hAnsi="Arial" w:cs="Arial"/>
        </w:rPr>
        <w:t xml:space="preserve"> being in operation and, so far, it has been a time of learning and refining our existing adverse event management processes to include the DoC outcomes.  We have demonstrated the ability to fully achieve the timescale with the exception of one very sensitive case.  </w:t>
      </w:r>
    </w:p>
    <w:p w:rsidR="00837308" w:rsidRPr="00EF39DF" w:rsidRDefault="00837308" w:rsidP="00837308">
      <w:pPr>
        <w:ind w:left="426"/>
        <w:rPr>
          <w:rFonts w:ascii="Arial" w:hAnsi="Arial" w:cs="Arial"/>
        </w:rPr>
      </w:pPr>
    </w:p>
    <w:p w:rsidR="00837308" w:rsidRPr="00EF39DF" w:rsidRDefault="00837308" w:rsidP="00837308">
      <w:pPr>
        <w:ind w:left="426"/>
        <w:rPr>
          <w:rFonts w:ascii="Arial" w:hAnsi="Arial" w:cs="Arial"/>
        </w:rPr>
      </w:pPr>
      <w:r w:rsidRPr="00EF39DF">
        <w:rPr>
          <w:rFonts w:ascii="Arial" w:hAnsi="Arial" w:cs="Arial"/>
        </w:rPr>
        <w:t xml:space="preserve">This report will be disseminated via the Clinical Governance reporting structure for internal information and will also be published on our public website </w:t>
      </w:r>
      <w:r w:rsidR="00A1518A">
        <w:rPr>
          <w:rFonts w:ascii="Arial" w:hAnsi="Arial" w:cs="Arial"/>
        </w:rPr>
        <w:t xml:space="preserve">in line with </w:t>
      </w:r>
      <w:r w:rsidRPr="00EF39DF">
        <w:rPr>
          <w:rFonts w:ascii="Arial" w:hAnsi="Arial" w:cs="Arial"/>
        </w:rPr>
        <w:t xml:space="preserve">legislation.  </w:t>
      </w:r>
      <w:r w:rsidR="00A1518A">
        <w:rPr>
          <w:rFonts w:ascii="Arial" w:hAnsi="Arial" w:cs="Arial"/>
        </w:rPr>
        <w:t xml:space="preserve">It will also be shared with </w:t>
      </w:r>
      <w:r w:rsidR="00EF39DF">
        <w:rPr>
          <w:rFonts w:ascii="Arial" w:hAnsi="Arial" w:cs="Arial"/>
        </w:rPr>
        <w:t>t</w:t>
      </w:r>
      <w:r w:rsidRPr="00EF39DF">
        <w:rPr>
          <w:rFonts w:ascii="Arial" w:hAnsi="Arial" w:cs="Arial"/>
        </w:rPr>
        <w:t xml:space="preserve">he Scottish Government </w:t>
      </w:r>
      <w:r w:rsidR="00A1518A">
        <w:rPr>
          <w:rFonts w:ascii="Arial" w:hAnsi="Arial" w:cs="Arial"/>
        </w:rPr>
        <w:t xml:space="preserve">to ensure </w:t>
      </w:r>
      <w:r w:rsidR="009002EA">
        <w:rPr>
          <w:rFonts w:ascii="Arial" w:hAnsi="Arial" w:cs="Arial"/>
        </w:rPr>
        <w:t xml:space="preserve">our </w:t>
      </w:r>
      <w:r w:rsidRPr="00EF39DF">
        <w:rPr>
          <w:rFonts w:ascii="Arial" w:hAnsi="Arial" w:cs="Arial"/>
        </w:rPr>
        <w:t>compliance with the DoC provision</w:t>
      </w:r>
      <w:r w:rsidR="00EF39DF">
        <w:rPr>
          <w:rFonts w:ascii="Arial" w:hAnsi="Arial" w:cs="Arial"/>
        </w:rPr>
        <w:t>.</w:t>
      </w:r>
    </w:p>
    <w:p w:rsidR="00837308" w:rsidRPr="00EF39DF" w:rsidRDefault="00837308" w:rsidP="00837308">
      <w:pPr>
        <w:rPr>
          <w:rFonts w:ascii="Arial" w:hAnsi="Arial" w:cs="Arial"/>
          <w:color w:val="FF0000"/>
        </w:rPr>
      </w:pPr>
    </w:p>
    <w:p w:rsidR="00837308" w:rsidRPr="00837308" w:rsidRDefault="00837308" w:rsidP="00837308">
      <w:pPr>
        <w:rPr>
          <w:rFonts w:ascii="Arial" w:hAnsi="Arial" w:cs="Arial"/>
          <w:color w:val="FF0000"/>
        </w:rPr>
      </w:pPr>
    </w:p>
    <w:p w:rsidR="00837308" w:rsidRPr="00833444" w:rsidRDefault="00837308" w:rsidP="00837308">
      <w:pPr>
        <w:rPr>
          <w:rFonts w:ascii="Arial" w:hAnsi="Arial" w:cs="Arial"/>
          <w:color w:val="FF0000"/>
        </w:rPr>
      </w:pPr>
    </w:p>
    <w:p w:rsidR="00837308" w:rsidRPr="00833444" w:rsidRDefault="00837308" w:rsidP="00837308">
      <w:pPr>
        <w:rPr>
          <w:rFonts w:ascii="Arial" w:hAnsi="Arial" w:cs="Arial"/>
          <w:color w:val="FF0000"/>
        </w:rPr>
      </w:pPr>
    </w:p>
    <w:p w:rsidR="00837308" w:rsidRPr="00837308" w:rsidRDefault="00837308" w:rsidP="00837308">
      <w:pPr>
        <w:rPr>
          <w:rFonts w:ascii="Arial" w:hAnsi="Arial" w:cs="Arial"/>
          <w:color w:val="FF0000"/>
        </w:rPr>
      </w:pPr>
    </w:p>
    <w:p w:rsidR="00837308" w:rsidRPr="00837308" w:rsidRDefault="00837308" w:rsidP="00837308">
      <w:pPr>
        <w:rPr>
          <w:rFonts w:ascii="Arial" w:hAnsi="Arial" w:cs="Arial"/>
          <w:color w:val="FF0000"/>
        </w:rPr>
      </w:pPr>
    </w:p>
    <w:p w:rsidR="00837308" w:rsidRPr="00837308" w:rsidRDefault="00837308" w:rsidP="00837308">
      <w:pPr>
        <w:rPr>
          <w:rFonts w:ascii="Arial" w:hAnsi="Arial" w:cs="Arial"/>
          <w:color w:val="FF0000"/>
        </w:rPr>
      </w:pPr>
    </w:p>
    <w:p w:rsidR="00837308" w:rsidRPr="00837308" w:rsidRDefault="00837308" w:rsidP="00837308">
      <w:pPr>
        <w:rPr>
          <w:rFonts w:ascii="Arial" w:hAnsi="Arial" w:cs="Arial"/>
          <w:color w:val="FF0000"/>
        </w:rPr>
      </w:pPr>
    </w:p>
    <w:p w:rsidR="00837308" w:rsidRPr="00837308" w:rsidRDefault="00837308" w:rsidP="00837308">
      <w:pPr>
        <w:rPr>
          <w:rFonts w:ascii="Arial" w:hAnsi="Arial" w:cs="Arial"/>
          <w:color w:val="FF0000"/>
        </w:rPr>
      </w:pPr>
    </w:p>
    <w:p w:rsidR="00837308" w:rsidRPr="00837308" w:rsidRDefault="00837308" w:rsidP="00837308">
      <w:pPr>
        <w:rPr>
          <w:rFonts w:ascii="Arial" w:hAnsi="Arial" w:cs="Arial"/>
          <w:color w:val="FF0000"/>
        </w:rPr>
      </w:pPr>
    </w:p>
    <w:p w:rsidR="00837308" w:rsidRPr="00EE2490" w:rsidRDefault="00837308" w:rsidP="00837308">
      <w:pPr>
        <w:rPr>
          <w:rFonts w:ascii="Arial" w:hAnsi="Arial" w:cs="Arial"/>
          <w:sz w:val="22"/>
          <w:szCs w:val="22"/>
        </w:rPr>
      </w:pPr>
      <w:r w:rsidRPr="00EE2490">
        <w:rPr>
          <w:rFonts w:ascii="Arial" w:hAnsi="Arial" w:cs="Arial"/>
          <w:sz w:val="22"/>
          <w:szCs w:val="22"/>
        </w:rPr>
        <w:t xml:space="preserve">Appendix 1 – DoC Criteria </w:t>
      </w:r>
    </w:p>
    <w:p w:rsidR="00837308" w:rsidRPr="00EE2490" w:rsidRDefault="00837308" w:rsidP="00837308">
      <w:pPr>
        <w:rPr>
          <w:rFonts w:ascii="Arial" w:hAnsi="Arial" w:cs="Arial"/>
          <w:sz w:val="22"/>
          <w:szCs w:val="22"/>
        </w:rPr>
      </w:pPr>
    </w:p>
    <w:p w:rsidR="00837308" w:rsidRPr="00EE2490" w:rsidRDefault="00837308" w:rsidP="00837308">
      <w:pPr>
        <w:autoSpaceDE w:val="0"/>
        <w:autoSpaceDN w:val="0"/>
        <w:adjustRightInd w:val="0"/>
        <w:rPr>
          <w:rFonts w:ascii="Arial" w:hAnsi="Arial" w:cs="Arial"/>
          <w:sz w:val="22"/>
          <w:szCs w:val="22"/>
          <w:lang w:val="en-GB" w:eastAsia="en-GB"/>
        </w:rPr>
      </w:pPr>
    </w:p>
    <w:p w:rsidR="00837308" w:rsidRPr="00EE2490" w:rsidRDefault="00837308" w:rsidP="00837308">
      <w:pPr>
        <w:autoSpaceDE w:val="0"/>
        <w:autoSpaceDN w:val="0"/>
        <w:adjustRightInd w:val="0"/>
        <w:spacing w:after="40" w:line="261" w:lineRule="atLeast"/>
        <w:rPr>
          <w:rFonts w:ascii="Arial" w:hAnsi="Arial" w:cs="Arial"/>
          <w:sz w:val="22"/>
          <w:szCs w:val="22"/>
          <w:lang w:val="en-GB" w:eastAsia="en-GB"/>
        </w:rPr>
      </w:pPr>
      <w:r w:rsidRPr="00EE2490">
        <w:rPr>
          <w:rFonts w:ascii="Arial" w:hAnsi="Arial" w:cs="Arial"/>
          <w:b/>
          <w:bCs/>
          <w:sz w:val="22"/>
          <w:szCs w:val="22"/>
          <w:lang w:val="en-GB" w:eastAsia="en-GB"/>
        </w:rPr>
        <w:t>Incident which activates the duty:</w:t>
      </w:r>
    </w:p>
    <w:p w:rsidR="00837308" w:rsidRPr="00EE2490" w:rsidRDefault="00837308" w:rsidP="00837308">
      <w:pPr>
        <w:autoSpaceDE w:val="0"/>
        <w:autoSpaceDN w:val="0"/>
        <w:adjustRightInd w:val="0"/>
        <w:spacing w:after="40" w:line="221" w:lineRule="atLeast"/>
        <w:rPr>
          <w:rFonts w:ascii="Arial" w:hAnsi="Arial" w:cs="Arial"/>
          <w:sz w:val="22"/>
          <w:szCs w:val="22"/>
          <w:lang w:val="en-GB" w:eastAsia="en-GB"/>
        </w:rPr>
      </w:pPr>
    </w:p>
    <w:p w:rsidR="00837308" w:rsidRPr="00EE2490" w:rsidRDefault="00837308" w:rsidP="00837308">
      <w:pPr>
        <w:autoSpaceDE w:val="0"/>
        <w:autoSpaceDN w:val="0"/>
        <w:adjustRightInd w:val="0"/>
        <w:spacing w:after="40" w:line="221" w:lineRule="atLeast"/>
        <w:rPr>
          <w:rFonts w:ascii="Arial" w:hAnsi="Arial" w:cs="Arial"/>
          <w:sz w:val="22"/>
          <w:szCs w:val="22"/>
          <w:lang w:val="en-GB" w:eastAsia="en-GB"/>
        </w:rPr>
      </w:pPr>
      <w:r w:rsidRPr="00EE2490">
        <w:rPr>
          <w:rFonts w:ascii="Arial" w:hAnsi="Arial" w:cs="Arial"/>
          <w:sz w:val="22"/>
          <w:szCs w:val="22"/>
          <w:lang w:val="en-GB" w:eastAsia="en-GB"/>
        </w:rPr>
        <w:t>The DoC procedure must be carried out by the responsible person as soon as practicable after becoming aware that an individual who has received a health, social care or social work service has been the subject of an unintended or unexpected incident, and in the reasonable opinion of a registered health professional has resulted in or could result in:</w:t>
      </w:r>
    </w:p>
    <w:p w:rsidR="00837308" w:rsidRPr="00EE2490" w:rsidRDefault="00837308" w:rsidP="00837308">
      <w:pPr>
        <w:autoSpaceDE w:val="0"/>
        <w:autoSpaceDN w:val="0"/>
        <w:adjustRightInd w:val="0"/>
        <w:spacing w:after="40" w:line="221" w:lineRule="atLeast"/>
        <w:rPr>
          <w:rFonts w:ascii="Arial" w:hAnsi="Arial" w:cs="Arial"/>
          <w:sz w:val="22"/>
          <w:szCs w:val="22"/>
          <w:lang w:val="en-GB" w:eastAsia="en-GB"/>
        </w:rPr>
      </w:pPr>
    </w:p>
    <w:p w:rsidR="00837308" w:rsidRPr="00EE2490" w:rsidRDefault="00837308" w:rsidP="00837308">
      <w:pPr>
        <w:numPr>
          <w:ilvl w:val="0"/>
          <w:numId w:val="2"/>
        </w:numPr>
        <w:autoSpaceDE w:val="0"/>
        <w:autoSpaceDN w:val="0"/>
        <w:adjustRightInd w:val="0"/>
        <w:ind w:left="360"/>
        <w:rPr>
          <w:rFonts w:ascii="Arial" w:hAnsi="Arial" w:cs="Arial"/>
          <w:sz w:val="22"/>
          <w:szCs w:val="22"/>
          <w:lang w:val="en-GB" w:eastAsia="en-GB"/>
        </w:rPr>
      </w:pPr>
      <w:r w:rsidRPr="00EE2490">
        <w:rPr>
          <w:rFonts w:ascii="Arial" w:hAnsi="Arial" w:cs="Arial"/>
          <w:sz w:val="22"/>
          <w:szCs w:val="22"/>
          <w:lang w:val="en-GB" w:eastAsia="en-GB"/>
        </w:rPr>
        <w:t xml:space="preserve">death of the person </w:t>
      </w:r>
    </w:p>
    <w:p w:rsidR="00837308" w:rsidRPr="00EE2490" w:rsidRDefault="00837308" w:rsidP="00837308">
      <w:pPr>
        <w:numPr>
          <w:ilvl w:val="0"/>
          <w:numId w:val="2"/>
        </w:numPr>
        <w:autoSpaceDE w:val="0"/>
        <w:autoSpaceDN w:val="0"/>
        <w:adjustRightInd w:val="0"/>
        <w:ind w:left="360"/>
        <w:rPr>
          <w:rFonts w:ascii="Arial" w:hAnsi="Arial" w:cs="Arial"/>
          <w:sz w:val="22"/>
          <w:szCs w:val="22"/>
          <w:lang w:val="en-GB" w:eastAsia="en-GB"/>
        </w:rPr>
      </w:pPr>
      <w:r w:rsidRPr="00EE2490">
        <w:rPr>
          <w:rFonts w:ascii="Arial" w:hAnsi="Arial" w:cs="Arial"/>
          <w:sz w:val="22"/>
          <w:szCs w:val="22"/>
          <w:lang w:val="en-GB" w:eastAsia="en-GB"/>
        </w:rPr>
        <w:t>a permanent lessening of bodily, sensory, motor, physiologic or intellectual functions</w:t>
      </w:r>
    </w:p>
    <w:p w:rsidR="00837308" w:rsidRPr="00EE2490" w:rsidRDefault="00837308" w:rsidP="00837308">
      <w:pPr>
        <w:numPr>
          <w:ilvl w:val="0"/>
          <w:numId w:val="2"/>
        </w:numPr>
        <w:autoSpaceDE w:val="0"/>
        <w:autoSpaceDN w:val="0"/>
        <w:adjustRightInd w:val="0"/>
        <w:ind w:left="360"/>
        <w:rPr>
          <w:rFonts w:ascii="Arial" w:hAnsi="Arial" w:cs="Arial"/>
          <w:sz w:val="22"/>
          <w:szCs w:val="22"/>
          <w:lang w:val="en-GB" w:eastAsia="en-GB"/>
        </w:rPr>
      </w:pPr>
      <w:r w:rsidRPr="00EE2490">
        <w:rPr>
          <w:rFonts w:ascii="Arial" w:hAnsi="Arial" w:cs="Arial"/>
          <w:sz w:val="22"/>
          <w:szCs w:val="22"/>
          <w:lang w:val="en-GB" w:eastAsia="en-GB"/>
        </w:rPr>
        <w:t>an increase in the person’s treatment</w:t>
      </w:r>
    </w:p>
    <w:p w:rsidR="00837308" w:rsidRPr="00EE2490" w:rsidRDefault="00837308" w:rsidP="00837308">
      <w:pPr>
        <w:numPr>
          <w:ilvl w:val="0"/>
          <w:numId w:val="2"/>
        </w:numPr>
        <w:autoSpaceDE w:val="0"/>
        <w:autoSpaceDN w:val="0"/>
        <w:adjustRightInd w:val="0"/>
        <w:ind w:left="360"/>
        <w:rPr>
          <w:rFonts w:ascii="Arial" w:hAnsi="Arial" w:cs="Arial"/>
          <w:sz w:val="22"/>
          <w:szCs w:val="22"/>
          <w:lang w:val="en-GB" w:eastAsia="en-GB"/>
        </w:rPr>
      </w:pPr>
      <w:r w:rsidRPr="00EE2490">
        <w:rPr>
          <w:rFonts w:ascii="Arial" w:hAnsi="Arial" w:cs="Arial"/>
          <w:sz w:val="22"/>
          <w:szCs w:val="22"/>
          <w:lang w:val="en-GB" w:eastAsia="en-GB"/>
        </w:rPr>
        <w:t>changes to the structure of the person’s body</w:t>
      </w:r>
    </w:p>
    <w:p w:rsidR="00837308" w:rsidRPr="00EE2490" w:rsidRDefault="00837308" w:rsidP="00837308">
      <w:pPr>
        <w:numPr>
          <w:ilvl w:val="0"/>
          <w:numId w:val="2"/>
        </w:numPr>
        <w:autoSpaceDE w:val="0"/>
        <w:autoSpaceDN w:val="0"/>
        <w:adjustRightInd w:val="0"/>
        <w:ind w:left="360"/>
        <w:rPr>
          <w:rFonts w:ascii="Arial" w:hAnsi="Arial" w:cs="Arial"/>
          <w:sz w:val="22"/>
          <w:szCs w:val="22"/>
          <w:lang w:val="en-GB" w:eastAsia="en-GB"/>
        </w:rPr>
      </w:pPr>
      <w:r w:rsidRPr="00EE2490">
        <w:rPr>
          <w:rFonts w:ascii="Arial" w:hAnsi="Arial" w:cs="Arial"/>
          <w:sz w:val="22"/>
          <w:szCs w:val="22"/>
          <w:lang w:val="en-GB" w:eastAsia="en-GB"/>
        </w:rPr>
        <w:t>the shortening of the life expectancy of the person</w:t>
      </w:r>
    </w:p>
    <w:p w:rsidR="00837308" w:rsidRPr="00EE2490" w:rsidRDefault="00837308" w:rsidP="00837308">
      <w:pPr>
        <w:numPr>
          <w:ilvl w:val="0"/>
          <w:numId w:val="2"/>
        </w:numPr>
        <w:autoSpaceDE w:val="0"/>
        <w:autoSpaceDN w:val="0"/>
        <w:adjustRightInd w:val="0"/>
        <w:ind w:left="360"/>
        <w:rPr>
          <w:rFonts w:ascii="Arial" w:hAnsi="Arial" w:cs="Arial"/>
          <w:sz w:val="22"/>
          <w:szCs w:val="22"/>
          <w:lang w:val="en-GB" w:eastAsia="en-GB"/>
        </w:rPr>
      </w:pPr>
      <w:r w:rsidRPr="00EE2490">
        <w:rPr>
          <w:rFonts w:ascii="Arial" w:hAnsi="Arial" w:cs="Arial"/>
          <w:sz w:val="22"/>
          <w:szCs w:val="22"/>
          <w:lang w:val="en-GB" w:eastAsia="en-GB"/>
        </w:rPr>
        <w:t>an impairment of the sensory, motor or intellectual functions of the person which has lasted, or is likely to last, for a continuous period of at least 28 days</w:t>
      </w:r>
    </w:p>
    <w:p w:rsidR="00837308" w:rsidRPr="00EE2490" w:rsidRDefault="00837308" w:rsidP="00837308">
      <w:pPr>
        <w:numPr>
          <w:ilvl w:val="0"/>
          <w:numId w:val="2"/>
        </w:numPr>
        <w:autoSpaceDE w:val="0"/>
        <w:autoSpaceDN w:val="0"/>
        <w:adjustRightInd w:val="0"/>
        <w:ind w:left="360"/>
        <w:rPr>
          <w:rFonts w:ascii="Arial" w:hAnsi="Arial" w:cs="Arial"/>
          <w:sz w:val="22"/>
          <w:szCs w:val="22"/>
          <w:lang w:val="en-GB" w:eastAsia="en-GB"/>
        </w:rPr>
      </w:pPr>
      <w:r w:rsidRPr="00EE2490">
        <w:rPr>
          <w:rFonts w:ascii="Arial" w:hAnsi="Arial" w:cs="Arial"/>
          <w:sz w:val="22"/>
          <w:szCs w:val="22"/>
          <w:lang w:val="en-GB" w:eastAsia="en-GB"/>
        </w:rPr>
        <w:t>the person experiencing pain or psychological harm which has been, or is likely to be, experienced by the person for a continuous period of at least 28 days</w:t>
      </w:r>
    </w:p>
    <w:p w:rsidR="00837308" w:rsidRPr="00EE2490" w:rsidRDefault="00837308" w:rsidP="00837308">
      <w:pPr>
        <w:numPr>
          <w:ilvl w:val="0"/>
          <w:numId w:val="2"/>
        </w:numPr>
        <w:autoSpaceDE w:val="0"/>
        <w:autoSpaceDN w:val="0"/>
        <w:adjustRightInd w:val="0"/>
        <w:ind w:left="360"/>
        <w:rPr>
          <w:rFonts w:ascii="Arial" w:hAnsi="Arial" w:cs="Arial"/>
          <w:sz w:val="22"/>
          <w:szCs w:val="22"/>
          <w:lang w:val="en-GB" w:eastAsia="en-GB"/>
        </w:rPr>
      </w:pPr>
      <w:r w:rsidRPr="00EE2490">
        <w:rPr>
          <w:rFonts w:ascii="Arial" w:hAnsi="Arial" w:cs="Arial"/>
          <w:sz w:val="22"/>
          <w:szCs w:val="22"/>
          <w:lang w:val="en-GB" w:eastAsia="en-GB"/>
        </w:rPr>
        <w:t>the person requiring treatment by a registered health professional in order to prevent –</w:t>
      </w:r>
    </w:p>
    <w:p w:rsidR="00837308" w:rsidRPr="00EE2490" w:rsidRDefault="00837308" w:rsidP="00837308">
      <w:pPr>
        <w:autoSpaceDE w:val="0"/>
        <w:autoSpaceDN w:val="0"/>
        <w:adjustRightInd w:val="0"/>
        <w:rPr>
          <w:rFonts w:ascii="Arial" w:hAnsi="Arial" w:cs="Arial"/>
          <w:sz w:val="22"/>
          <w:szCs w:val="22"/>
          <w:lang w:val="en-GB" w:eastAsia="en-GB"/>
        </w:rPr>
      </w:pPr>
    </w:p>
    <w:p w:rsidR="00837308" w:rsidRPr="00EE2490" w:rsidRDefault="00837308" w:rsidP="00837308">
      <w:pPr>
        <w:numPr>
          <w:ilvl w:val="1"/>
          <w:numId w:val="2"/>
        </w:numPr>
        <w:autoSpaceDE w:val="0"/>
        <w:autoSpaceDN w:val="0"/>
        <w:adjustRightInd w:val="0"/>
        <w:spacing w:line="221" w:lineRule="atLeast"/>
        <w:rPr>
          <w:rFonts w:ascii="Arial" w:hAnsi="Arial" w:cs="Arial"/>
          <w:sz w:val="22"/>
          <w:szCs w:val="22"/>
          <w:lang w:val="en-GB" w:eastAsia="en-GB"/>
        </w:rPr>
      </w:pPr>
      <w:r w:rsidRPr="00EE2490">
        <w:rPr>
          <w:rFonts w:ascii="Arial" w:hAnsi="Arial" w:cs="Arial"/>
          <w:sz w:val="22"/>
          <w:szCs w:val="22"/>
          <w:lang w:val="en-GB" w:eastAsia="en-GB"/>
        </w:rPr>
        <w:t xml:space="preserve">the death of the person, or </w:t>
      </w:r>
    </w:p>
    <w:p w:rsidR="00837308" w:rsidRPr="00EE2490" w:rsidRDefault="00837308" w:rsidP="00837308">
      <w:pPr>
        <w:numPr>
          <w:ilvl w:val="1"/>
          <w:numId w:val="2"/>
        </w:numPr>
        <w:rPr>
          <w:rFonts w:ascii="Arial" w:hAnsi="Arial" w:cs="Arial"/>
          <w:sz w:val="22"/>
          <w:szCs w:val="22"/>
        </w:rPr>
      </w:pPr>
      <w:r w:rsidRPr="00EE2490">
        <w:rPr>
          <w:rFonts w:ascii="Arial" w:hAnsi="Arial" w:cs="Arial"/>
          <w:sz w:val="22"/>
          <w:szCs w:val="22"/>
          <w:lang w:val="en-GB" w:eastAsia="en-GB"/>
        </w:rPr>
        <w:t>any injury to the person which, if left untreated, would lead to one or more of the outcomes mentioned above.</w:t>
      </w:r>
    </w:p>
    <w:p w:rsidR="00837308" w:rsidRPr="00624B2F" w:rsidRDefault="00837308" w:rsidP="00837308">
      <w:pPr>
        <w:rPr>
          <w:rFonts w:ascii="Arial" w:hAnsi="Arial" w:cs="Arial"/>
          <w:color w:val="FF0000"/>
        </w:rPr>
      </w:pPr>
    </w:p>
    <w:p w:rsidR="00B20E1C" w:rsidRDefault="00B20E1C"/>
    <w:sectPr w:rsidR="00B20E1C" w:rsidSect="00EF39DF">
      <w:footerReference w:type="default" r:id="rId10"/>
      <w:pgSz w:w="12240" w:h="15840"/>
      <w:pgMar w:top="851" w:right="851" w:bottom="851" w:left="720"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016" w:rsidRDefault="00F67016">
      <w:r>
        <w:separator/>
      </w:r>
    </w:p>
  </w:endnote>
  <w:endnote w:type="continuationSeparator" w:id="0">
    <w:p w:rsidR="00F67016" w:rsidRDefault="00F6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665457"/>
      <w:docPartObj>
        <w:docPartGallery w:val="Page Numbers (Bottom of Page)"/>
        <w:docPartUnique/>
      </w:docPartObj>
    </w:sdtPr>
    <w:sdtEndPr>
      <w:rPr>
        <w:rFonts w:ascii="Arial" w:hAnsi="Arial" w:cs="Arial"/>
        <w:noProof/>
      </w:rPr>
    </w:sdtEndPr>
    <w:sdtContent>
      <w:p w:rsidR="00B85C45" w:rsidRPr="0048765E" w:rsidRDefault="0048765E" w:rsidP="0048765E">
        <w:pPr>
          <w:pStyle w:val="Footer"/>
          <w:jc w:val="center"/>
          <w:rPr>
            <w:rFonts w:ascii="Arial" w:hAnsi="Arial" w:cs="Arial"/>
          </w:rPr>
        </w:pPr>
        <w:r w:rsidRPr="0048765E">
          <w:rPr>
            <w:rFonts w:ascii="Arial" w:hAnsi="Arial" w:cs="Arial"/>
          </w:rPr>
          <w:fldChar w:fldCharType="begin"/>
        </w:r>
        <w:r w:rsidRPr="0048765E">
          <w:rPr>
            <w:rFonts w:ascii="Arial" w:hAnsi="Arial" w:cs="Arial"/>
          </w:rPr>
          <w:instrText xml:space="preserve"> PAGE   \* MERGEFORMAT </w:instrText>
        </w:r>
        <w:r w:rsidRPr="0048765E">
          <w:rPr>
            <w:rFonts w:ascii="Arial" w:hAnsi="Arial" w:cs="Arial"/>
          </w:rPr>
          <w:fldChar w:fldCharType="separate"/>
        </w:r>
        <w:r>
          <w:rPr>
            <w:rFonts w:ascii="Arial" w:hAnsi="Arial" w:cs="Arial"/>
            <w:noProof/>
          </w:rPr>
          <w:t>2</w:t>
        </w:r>
        <w:r w:rsidRPr="0048765E">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016" w:rsidRDefault="00F67016">
      <w:r>
        <w:separator/>
      </w:r>
    </w:p>
  </w:footnote>
  <w:footnote w:type="continuationSeparator" w:id="0">
    <w:p w:rsidR="00F67016" w:rsidRDefault="00F67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F6667"/>
    <w:multiLevelType w:val="hybridMultilevel"/>
    <w:tmpl w:val="95CC4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EA2A39"/>
    <w:multiLevelType w:val="hybridMultilevel"/>
    <w:tmpl w:val="22800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5705D2"/>
    <w:multiLevelType w:val="hybridMultilevel"/>
    <w:tmpl w:val="712652F6"/>
    <w:lvl w:ilvl="0" w:tplc="1912085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37308"/>
    <w:rsid w:val="000D60CE"/>
    <w:rsid w:val="0048765E"/>
    <w:rsid w:val="004E1773"/>
    <w:rsid w:val="00833444"/>
    <w:rsid w:val="00837308"/>
    <w:rsid w:val="009002EA"/>
    <w:rsid w:val="00A1518A"/>
    <w:rsid w:val="00B20E1C"/>
    <w:rsid w:val="00EF39DF"/>
    <w:rsid w:val="00F67016"/>
    <w:rsid w:val="00FB3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DA23A"/>
  <w15:chartTrackingRefBased/>
  <w15:docId w15:val="{68880389-4F66-4614-B033-ABC4DD45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308"/>
    <w:pPr>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37308"/>
    <w:pPr>
      <w:tabs>
        <w:tab w:val="center" w:pos="4320"/>
        <w:tab w:val="right" w:pos="8640"/>
      </w:tabs>
    </w:pPr>
  </w:style>
  <w:style w:type="character" w:customStyle="1" w:styleId="FooterChar">
    <w:name w:val="Footer Char"/>
    <w:basedOn w:val="DefaultParagraphFont"/>
    <w:link w:val="Footer"/>
    <w:uiPriority w:val="99"/>
    <w:rsid w:val="00837308"/>
    <w:rPr>
      <w:rFonts w:ascii="Times New Roman" w:eastAsia="Times New Roman" w:hAnsi="Times New Roman" w:cs="Times New Roman"/>
      <w:lang w:val="en-US"/>
    </w:rPr>
  </w:style>
  <w:style w:type="character" w:styleId="PageNumber">
    <w:name w:val="page number"/>
    <w:basedOn w:val="DefaultParagraphFont"/>
    <w:rsid w:val="00837308"/>
  </w:style>
  <w:style w:type="paragraph" w:styleId="ListParagraph">
    <w:name w:val="List Paragraph"/>
    <w:basedOn w:val="Normal"/>
    <w:uiPriority w:val="34"/>
    <w:qFormat/>
    <w:rsid w:val="00837308"/>
    <w:pPr>
      <w:ind w:left="720"/>
      <w:contextualSpacing/>
    </w:pPr>
    <w:rPr>
      <w:rFonts w:ascii="Calibri" w:eastAsia="Calibri" w:hAnsi="Calibri" w:cs="Calibri"/>
      <w:sz w:val="22"/>
      <w:szCs w:val="22"/>
      <w:lang w:val="en-GB" w:eastAsia="en-GB"/>
    </w:rPr>
  </w:style>
  <w:style w:type="paragraph" w:customStyle="1" w:styleId="Default">
    <w:name w:val="Default"/>
    <w:rsid w:val="00837308"/>
    <w:pPr>
      <w:autoSpaceDE w:val="0"/>
      <w:autoSpaceDN w:val="0"/>
      <w:adjustRightInd w:val="0"/>
      <w:spacing w:after="0" w:line="240" w:lineRule="auto"/>
    </w:pPr>
    <w:rPr>
      <w:rFonts w:eastAsia="Calibri"/>
      <w:color w:val="000000"/>
    </w:rPr>
  </w:style>
  <w:style w:type="paragraph" w:styleId="BalloonText">
    <w:name w:val="Balloon Text"/>
    <w:basedOn w:val="Normal"/>
    <w:link w:val="BalloonTextChar"/>
    <w:uiPriority w:val="99"/>
    <w:semiHidden/>
    <w:unhideWhenUsed/>
    <w:rsid w:val="008373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308"/>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833444"/>
    <w:rPr>
      <w:sz w:val="16"/>
      <w:szCs w:val="16"/>
    </w:rPr>
  </w:style>
  <w:style w:type="paragraph" w:styleId="CommentText">
    <w:name w:val="annotation text"/>
    <w:basedOn w:val="Normal"/>
    <w:link w:val="CommentTextChar"/>
    <w:uiPriority w:val="99"/>
    <w:semiHidden/>
    <w:unhideWhenUsed/>
    <w:rsid w:val="00833444"/>
    <w:rPr>
      <w:sz w:val="20"/>
      <w:szCs w:val="20"/>
    </w:rPr>
  </w:style>
  <w:style w:type="character" w:customStyle="1" w:styleId="CommentTextChar">
    <w:name w:val="Comment Text Char"/>
    <w:basedOn w:val="DefaultParagraphFont"/>
    <w:link w:val="CommentText"/>
    <w:uiPriority w:val="99"/>
    <w:semiHidden/>
    <w:rsid w:val="0083344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33444"/>
    <w:rPr>
      <w:b/>
      <w:bCs/>
    </w:rPr>
  </w:style>
  <w:style w:type="character" w:customStyle="1" w:styleId="CommentSubjectChar">
    <w:name w:val="Comment Subject Char"/>
    <w:basedOn w:val="CommentTextChar"/>
    <w:link w:val="CommentSubject"/>
    <w:uiPriority w:val="99"/>
    <w:semiHidden/>
    <w:rsid w:val="00833444"/>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48765E"/>
    <w:pPr>
      <w:tabs>
        <w:tab w:val="center" w:pos="4513"/>
        <w:tab w:val="right" w:pos="9026"/>
      </w:tabs>
    </w:pPr>
  </w:style>
  <w:style w:type="character" w:customStyle="1" w:styleId="HeaderChar">
    <w:name w:val="Header Char"/>
    <w:basedOn w:val="DefaultParagraphFont"/>
    <w:link w:val="Header"/>
    <w:uiPriority w:val="99"/>
    <w:rsid w:val="0048765E"/>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BF5E4-F788-46B1-BEB0-A573CE5CD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Scott</dc:creator>
  <cp:keywords/>
  <dc:description/>
  <cp:lastModifiedBy>Christine McGuinness</cp:lastModifiedBy>
  <cp:revision>3</cp:revision>
  <dcterms:created xsi:type="dcterms:W3CDTF">2019-07-25T15:26:00Z</dcterms:created>
  <dcterms:modified xsi:type="dcterms:W3CDTF">2019-07-25T15:28:00Z</dcterms:modified>
</cp:coreProperties>
</file>