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B5719A" w:rsidTr="005B4BA8">
        <w:trPr>
          <w:trHeight w:val="557"/>
        </w:trPr>
        <w:tc>
          <w:tcPr>
            <w:tcW w:w="2557" w:type="dxa"/>
          </w:tcPr>
          <w:p w:rsidR="005B4BA8" w:rsidRPr="00B5719A" w:rsidRDefault="005B4BA8" w:rsidP="005B4BA8">
            <w:pPr>
              <w:pStyle w:val="Heading1"/>
              <w:spacing w:before="60" w:after="60"/>
              <w:ind w:right="183"/>
              <w:contextualSpacing/>
              <w:rPr>
                <w:rFonts w:ascii="Arial" w:hAnsi="Arial" w:cs="Arial"/>
                <w:sz w:val="24"/>
                <w:szCs w:val="24"/>
              </w:rPr>
            </w:pPr>
            <w:r w:rsidRPr="00B5719A">
              <w:rPr>
                <w:rFonts w:ascii="Arial" w:hAnsi="Arial" w:cs="Arial"/>
                <w:sz w:val="24"/>
                <w:szCs w:val="24"/>
              </w:rPr>
              <w:t>Board Meeting:</w:t>
            </w:r>
          </w:p>
        </w:tc>
        <w:tc>
          <w:tcPr>
            <w:tcW w:w="4814" w:type="dxa"/>
          </w:tcPr>
          <w:p w:rsidR="005B4BA8" w:rsidRPr="00B5719A" w:rsidRDefault="00534FC0" w:rsidP="0074139D">
            <w:pPr>
              <w:pStyle w:val="Heading1"/>
              <w:spacing w:before="60" w:after="60"/>
              <w:ind w:right="183"/>
              <w:contextualSpacing/>
              <w:rPr>
                <w:rFonts w:ascii="Arial" w:hAnsi="Arial" w:cs="Arial"/>
                <w:b w:val="0"/>
                <w:sz w:val="24"/>
                <w:szCs w:val="24"/>
              </w:rPr>
            </w:pPr>
            <w:r>
              <w:rPr>
                <w:rFonts w:ascii="Arial" w:hAnsi="Arial" w:cs="Arial"/>
                <w:b w:val="0"/>
                <w:sz w:val="24"/>
                <w:szCs w:val="24"/>
              </w:rPr>
              <w:t>July</w:t>
            </w:r>
            <w:r w:rsidR="00812CBD">
              <w:rPr>
                <w:rFonts w:ascii="Arial" w:hAnsi="Arial" w:cs="Arial"/>
                <w:b w:val="0"/>
                <w:sz w:val="24"/>
                <w:szCs w:val="24"/>
              </w:rPr>
              <w:t xml:space="preserve"> </w:t>
            </w:r>
            <w:r w:rsidR="0074139D">
              <w:rPr>
                <w:rFonts w:ascii="Arial" w:hAnsi="Arial" w:cs="Arial"/>
                <w:b w:val="0"/>
                <w:sz w:val="24"/>
                <w:szCs w:val="24"/>
              </w:rPr>
              <w:t>2019</w:t>
            </w:r>
          </w:p>
        </w:tc>
        <w:tc>
          <w:tcPr>
            <w:tcW w:w="1985" w:type="dxa"/>
            <w:vMerge w:val="restart"/>
          </w:tcPr>
          <w:p w:rsidR="005B4BA8" w:rsidRPr="00B5719A" w:rsidRDefault="00D16B80" w:rsidP="005B4BA8">
            <w:pPr>
              <w:pStyle w:val="Heading1"/>
              <w:spacing w:before="60" w:after="60"/>
              <w:ind w:right="34"/>
              <w:contextualSpacing/>
              <w:jc w:val="right"/>
              <w:rPr>
                <w:rFonts w:ascii="Arial" w:hAnsi="Arial" w:cs="Arial"/>
                <w:sz w:val="24"/>
                <w:szCs w:val="24"/>
              </w:rPr>
            </w:pPr>
            <w:bookmarkStart w:id="0" w:name="_GoBack"/>
            <w:r>
              <w:rPr>
                <w:rFonts w:ascii="Arial" w:hAnsi="Arial" w:cs="Arial"/>
                <w:b w:val="0"/>
                <w:noProof/>
                <w:sz w:val="28"/>
                <w:szCs w:val="28"/>
                <w:lang w:eastAsia="en-GB"/>
              </w:rPr>
              <w:drawing>
                <wp:anchor distT="0" distB="0" distL="114300" distR="114300" simplePos="0" relativeHeight="251659264" behindDoc="0" locked="0" layoutInCell="1" allowOverlap="1" wp14:anchorId="5ECE4609" wp14:editId="2A61C2AE">
                  <wp:simplePos x="0" y="0"/>
                  <wp:positionH relativeFrom="margin">
                    <wp:posOffset>-240030</wp:posOffset>
                  </wp:positionH>
                  <wp:positionV relativeFrom="margin">
                    <wp:posOffset>4445</wp:posOffset>
                  </wp:positionV>
                  <wp:extent cx="1306195" cy="541020"/>
                  <wp:effectExtent l="0" t="0" r="0" b="0"/>
                  <wp:wrapSquare wrapText="bothSides"/>
                  <wp:docPr id="1"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306195" cy="541020"/>
                          </a:xfrm>
                          <a:prstGeom prst="rect">
                            <a:avLst/>
                          </a:prstGeom>
                        </pic:spPr>
                      </pic:pic>
                    </a:graphicData>
                  </a:graphic>
                  <wp14:sizeRelH relativeFrom="margin">
                    <wp14:pctWidth>0</wp14:pctWidth>
                  </wp14:sizeRelH>
                  <wp14:sizeRelV relativeFrom="margin">
                    <wp14:pctHeight>0</wp14:pctHeight>
                  </wp14:sizeRelV>
                </wp:anchor>
              </w:drawing>
            </w:r>
            <w:bookmarkEnd w:id="0"/>
          </w:p>
        </w:tc>
      </w:tr>
      <w:tr w:rsidR="005B4BA8" w:rsidRPr="00B5719A" w:rsidTr="005B4BA8">
        <w:trPr>
          <w:trHeight w:val="1091"/>
        </w:trPr>
        <w:tc>
          <w:tcPr>
            <w:tcW w:w="2557" w:type="dxa"/>
          </w:tcPr>
          <w:p w:rsidR="005B4BA8" w:rsidRPr="00B5719A" w:rsidRDefault="005B4BA8" w:rsidP="005B4BA8">
            <w:pPr>
              <w:pStyle w:val="Heading1"/>
              <w:spacing w:before="60" w:after="60"/>
              <w:ind w:right="183"/>
              <w:contextualSpacing/>
              <w:rPr>
                <w:rFonts w:ascii="Arial" w:hAnsi="Arial" w:cs="Arial"/>
                <w:sz w:val="24"/>
                <w:szCs w:val="24"/>
              </w:rPr>
            </w:pPr>
            <w:r w:rsidRPr="00B5719A">
              <w:rPr>
                <w:rFonts w:ascii="Arial" w:hAnsi="Arial" w:cs="Arial"/>
                <w:bCs w:val="0"/>
                <w:sz w:val="24"/>
                <w:szCs w:val="24"/>
              </w:rPr>
              <w:t>Subject:</w:t>
            </w:r>
          </w:p>
        </w:tc>
        <w:tc>
          <w:tcPr>
            <w:tcW w:w="4814" w:type="dxa"/>
          </w:tcPr>
          <w:p w:rsidR="0074139D" w:rsidRPr="00B830B4" w:rsidRDefault="0074139D" w:rsidP="0074139D">
            <w:pPr>
              <w:ind w:right="183"/>
              <w:rPr>
                <w:rFonts w:ascii="Arial" w:hAnsi="Arial" w:cs="Arial"/>
              </w:rPr>
            </w:pPr>
            <w:r w:rsidRPr="00B830B4">
              <w:rPr>
                <w:rFonts w:ascii="Arial" w:hAnsi="Arial" w:cs="Arial"/>
                <w:bCs/>
              </w:rPr>
              <w:t>Business Update</w:t>
            </w:r>
            <w:r w:rsidR="00534FC0">
              <w:rPr>
                <w:rFonts w:ascii="Arial" w:hAnsi="Arial" w:cs="Arial"/>
                <w:bCs/>
              </w:rPr>
              <w:t xml:space="preserve"> – May</w:t>
            </w:r>
            <w:r>
              <w:rPr>
                <w:rFonts w:ascii="Arial" w:hAnsi="Arial" w:cs="Arial"/>
                <w:bCs/>
              </w:rPr>
              <w:t xml:space="preserve"> 2019</w:t>
            </w:r>
          </w:p>
          <w:p w:rsidR="005B4BA8" w:rsidRPr="00B5719A" w:rsidRDefault="005B4BA8" w:rsidP="003D03FE">
            <w:pPr>
              <w:pStyle w:val="Heading1"/>
              <w:spacing w:before="60" w:after="60"/>
              <w:ind w:right="183"/>
              <w:contextualSpacing/>
              <w:rPr>
                <w:rFonts w:ascii="Arial" w:hAnsi="Arial" w:cs="Arial"/>
                <w:b w:val="0"/>
                <w:sz w:val="24"/>
                <w:szCs w:val="24"/>
              </w:rPr>
            </w:pPr>
          </w:p>
        </w:tc>
        <w:tc>
          <w:tcPr>
            <w:tcW w:w="1985" w:type="dxa"/>
            <w:vMerge/>
          </w:tcPr>
          <w:p w:rsidR="005B4BA8" w:rsidRPr="00B5719A" w:rsidRDefault="005B4BA8" w:rsidP="005B4BA8">
            <w:pPr>
              <w:pStyle w:val="Heading1"/>
              <w:spacing w:before="60" w:after="60"/>
              <w:ind w:right="183"/>
              <w:contextualSpacing/>
              <w:rPr>
                <w:rFonts w:ascii="Arial" w:hAnsi="Arial" w:cs="Arial"/>
                <w:noProof/>
                <w:sz w:val="24"/>
                <w:szCs w:val="24"/>
                <w:lang w:eastAsia="en-GB"/>
              </w:rPr>
            </w:pPr>
          </w:p>
        </w:tc>
      </w:tr>
      <w:tr w:rsidR="005B4BA8" w:rsidRPr="00B5719A" w:rsidTr="005B4BA8">
        <w:trPr>
          <w:trHeight w:val="499"/>
        </w:trPr>
        <w:tc>
          <w:tcPr>
            <w:tcW w:w="2557" w:type="dxa"/>
          </w:tcPr>
          <w:p w:rsidR="005B4BA8" w:rsidRPr="00B5719A" w:rsidRDefault="005B4BA8" w:rsidP="005B4BA8">
            <w:pPr>
              <w:pStyle w:val="Heading1"/>
              <w:spacing w:before="120" w:after="60"/>
              <w:ind w:right="183"/>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gridSpan w:val="2"/>
          </w:tcPr>
          <w:p w:rsidR="005B4BA8" w:rsidRPr="00B5719A" w:rsidRDefault="005B4BA8"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5B4BA8" w:rsidRPr="00B5719A" w:rsidRDefault="005B4BA8" w:rsidP="005B4BA8">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5B4BA8" w:rsidRPr="00812CBD" w:rsidRDefault="005B4BA8" w:rsidP="00812CBD">
                  <w:pPr>
                    <w:pStyle w:val="ListParagraph"/>
                    <w:numPr>
                      <w:ilvl w:val="0"/>
                      <w:numId w:val="23"/>
                    </w:numPr>
                    <w:spacing w:before="120" w:after="60"/>
                    <w:contextualSpacing/>
                    <w:rPr>
                      <w:rFonts w:ascii="Arial" w:hAnsi="Arial" w:cs="Arial"/>
                    </w:rPr>
                  </w:pPr>
                </w:p>
              </w:tc>
            </w:tr>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5B4BA8" w:rsidRPr="00B5719A" w:rsidRDefault="005B4BA8" w:rsidP="005B4BA8">
                  <w:pPr>
                    <w:spacing w:before="120" w:after="60"/>
                    <w:contextualSpacing/>
                    <w:rPr>
                      <w:rFonts w:ascii="Arial" w:hAnsi="Arial" w:cs="Arial"/>
                    </w:rPr>
                  </w:pPr>
                </w:p>
              </w:tc>
            </w:tr>
            <w:tr w:rsidR="005B4BA8" w:rsidRPr="00B5719A" w:rsidTr="007B4090">
              <w:tc>
                <w:tcPr>
                  <w:tcW w:w="5694" w:type="dxa"/>
                </w:tcPr>
                <w:p w:rsidR="005B4BA8" w:rsidRPr="00B5719A" w:rsidRDefault="002253CC" w:rsidP="002253CC">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5B4BA8" w:rsidRPr="00812CBD" w:rsidRDefault="005B4BA8" w:rsidP="00812CBD">
                  <w:pPr>
                    <w:spacing w:before="120" w:after="60"/>
                    <w:ind w:left="360"/>
                    <w:contextualSpacing/>
                    <w:rPr>
                      <w:rFonts w:ascii="Arial" w:hAnsi="Arial" w:cs="Arial"/>
                    </w:rPr>
                  </w:pPr>
                </w:p>
              </w:tc>
            </w:tr>
          </w:tbl>
          <w:p w:rsidR="005B4BA8" w:rsidRPr="00B5719A" w:rsidRDefault="005B4BA8" w:rsidP="005B4BA8">
            <w:pPr>
              <w:spacing w:before="120" w:after="60"/>
              <w:contextualSpacing/>
              <w:rPr>
                <w:rFonts w:ascii="Arial" w:hAnsi="Arial" w:cs="Arial"/>
              </w:rPr>
            </w:pPr>
          </w:p>
        </w:tc>
      </w:tr>
      <w:tr w:rsidR="005B4BA8" w:rsidRPr="00B5719A" w:rsidTr="005B4BA8">
        <w:trPr>
          <w:trHeight w:val="499"/>
        </w:trPr>
        <w:tc>
          <w:tcPr>
            <w:tcW w:w="2557" w:type="dxa"/>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 w:val="0"/>
                <w:sz w:val="24"/>
                <w:szCs w:val="24"/>
              </w:rPr>
            </w:pPr>
          </w:p>
        </w:tc>
      </w:tr>
    </w:tbl>
    <w:p w:rsidR="00B5719A" w:rsidRPr="00B5719A" w:rsidRDefault="00B5719A" w:rsidP="00B5719A">
      <w:pPr>
        <w:ind w:left="-426" w:right="183"/>
        <w:rPr>
          <w:rFonts w:ascii="Arial" w:hAnsi="Arial" w:cs="Arial"/>
          <w:b/>
          <w:bCs/>
        </w:rPr>
      </w:pPr>
    </w:p>
    <w:p w:rsidR="00B0525B" w:rsidRDefault="00B0525B" w:rsidP="007478CE">
      <w:pPr>
        <w:pStyle w:val="Heading2"/>
        <w:spacing w:before="0" w:after="0"/>
        <w:ind w:right="183"/>
        <w:rPr>
          <w:i w:val="0"/>
          <w:sz w:val="24"/>
          <w:szCs w:val="24"/>
        </w:rPr>
      </w:pPr>
      <w:r w:rsidRPr="001175E5">
        <w:rPr>
          <w:i w:val="0"/>
          <w:sz w:val="24"/>
          <w:szCs w:val="24"/>
        </w:rPr>
        <w:t>1</w:t>
      </w:r>
      <w:r w:rsidRPr="001175E5">
        <w:rPr>
          <w:i w:val="0"/>
          <w:sz w:val="24"/>
          <w:szCs w:val="24"/>
        </w:rPr>
        <w:tab/>
        <w:t>Background</w:t>
      </w:r>
    </w:p>
    <w:p w:rsidR="00812CBD" w:rsidRPr="00812CBD" w:rsidRDefault="00812CBD" w:rsidP="007478CE"/>
    <w:p w:rsidR="00534FC0" w:rsidRDefault="00534FC0" w:rsidP="007478CE">
      <w:pPr>
        <w:ind w:left="720" w:right="180"/>
        <w:rPr>
          <w:rFonts w:ascii="Arial" w:hAnsi="Arial" w:cs="Arial"/>
        </w:rPr>
      </w:pPr>
      <w:r w:rsidRPr="00B50C50">
        <w:rPr>
          <w:rFonts w:ascii="Arial" w:hAnsi="Arial" w:cs="Arial"/>
        </w:rPr>
        <w:t>Patient activity is reported on a monthly basis, both by month and year to d</w:t>
      </w:r>
      <w:r>
        <w:rPr>
          <w:rFonts w:ascii="Arial" w:hAnsi="Arial" w:cs="Arial"/>
        </w:rPr>
        <w:t xml:space="preserve">ate.  Data </w:t>
      </w:r>
      <w:r w:rsidRPr="00B50C50">
        <w:rPr>
          <w:rFonts w:ascii="Arial" w:hAnsi="Arial" w:cs="Arial"/>
        </w:rPr>
        <w:t>is primarily measured in episodes of care.  However, data is also captured to reflect the number of procedures being carried out by Board, by specialty.  This information is particularly relevant to referring Boards who are allocated activity and measure their activity/throughput at</w:t>
      </w:r>
      <w:r w:rsidR="00241892">
        <w:rPr>
          <w:rFonts w:ascii="Arial" w:hAnsi="Arial" w:cs="Arial"/>
        </w:rPr>
        <w:t xml:space="preserve"> the Golden Jubilee National Hospital (</w:t>
      </w:r>
      <w:r w:rsidRPr="00B50C50">
        <w:rPr>
          <w:rFonts w:ascii="Arial" w:hAnsi="Arial" w:cs="Arial"/>
        </w:rPr>
        <w:t>GJNH</w:t>
      </w:r>
      <w:r w:rsidR="00241892">
        <w:rPr>
          <w:rFonts w:ascii="Arial" w:hAnsi="Arial" w:cs="Arial"/>
        </w:rPr>
        <w:t>)</w:t>
      </w:r>
      <w:r w:rsidRPr="00B50C50">
        <w:rPr>
          <w:rFonts w:ascii="Arial" w:hAnsi="Arial" w:cs="Arial"/>
        </w:rPr>
        <w:t xml:space="preserve"> in numbers of procedures.  </w:t>
      </w:r>
    </w:p>
    <w:p w:rsidR="00534FC0" w:rsidRDefault="00534FC0" w:rsidP="007478CE">
      <w:pPr>
        <w:ind w:left="720" w:right="180"/>
        <w:rPr>
          <w:rFonts w:ascii="Arial" w:hAnsi="Arial" w:cs="Arial"/>
        </w:rPr>
      </w:pPr>
    </w:p>
    <w:p w:rsidR="00534FC0" w:rsidRDefault="00534FC0" w:rsidP="007478CE">
      <w:pPr>
        <w:ind w:left="720" w:right="180"/>
        <w:rPr>
          <w:rFonts w:ascii="Arial" w:hAnsi="Arial" w:cs="Arial"/>
        </w:rPr>
      </w:pPr>
      <w:r>
        <w:rPr>
          <w:rFonts w:ascii="Arial" w:hAnsi="Arial" w:cs="Arial"/>
        </w:rPr>
        <w:t>Appendix A to this document is provided for information purposes and reflects the number of patients treated against an annual plan of 18,314 (patients).</w:t>
      </w:r>
    </w:p>
    <w:p w:rsidR="00534FC0" w:rsidRDefault="00534FC0" w:rsidP="007478CE">
      <w:pPr>
        <w:ind w:left="720" w:right="180"/>
        <w:rPr>
          <w:rFonts w:ascii="Arial" w:hAnsi="Arial" w:cs="Arial"/>
        </w:rPr>
      </w:pPr>
    </w:p>
    <w:p w:rsidR="00534FC0" w:rsidRDefault="00534FC0" w:rsidP="007478CE">
      <w:pPr>
        <w:ind w:left="720" w:right="180"/>
        <w:rPr>
          <w:rFonts w:ascii="Arial" w:hAnsi="Arial" w:cs="Arial"/>
        </w:rPr>
      </w:pPr>
      <w:r>
        <w:rPr>
          <w:rFonts w:ascii="Arial" w:hAnsi="Arial" w:cs="Arial"/>
        </w:rPr>
        <w:t>Appendix B to this document is adjusted to represent theatre slots used (as opposed to numbers of patients) in both orthopaedic surgery and plastic surgery.  This allows us to more accurately reflect actual theatre utilisation and allows us to focus on maximising the theatre capacity that is available to us.</w:t>
      </w:r>
    </w:p>
    <w:p w:rsidR="00534FC0" w:rsidRDefault="00534FC0" w:rsidP="007478CE">
      <w:pPr>
        <w:ind w:left="720" w:right="180"/>
        <w:rPr>
          <w:rFonts w:ascii="Arial" w:hAnsi="Arial" w:cs="Arial"/>
        </w:rPr>
      </w:pPr>
    </w:p>
    <w:p w:rsidR="00534FC0" w:rsidRDefault="00534FC0" w:rsidP="007478CE">
      <w:pPr>
        <w:ind w:left="720" w:right="180"/>
        <w:rPr>
          <w:rFonts w:ascii="Arial" w:hAnsi="Arial" w:cs="Arial"/>
        </w:rPr>
      </w:pPr>
      <w:r>
        <w:rPr>
          <w:rFonts w:ascii="Arial" w:hAnsi="Arial" w:cs="Arial"/>
        </w:rPr>
        <w:t>This paper is intended to monitor and report on the national waiting times activity allocated to Boards across Scotland.  High level Regional Heart and Lung Centre activity is also provided for information purposes.  This activity is reported in more detail on the Divisional Performance and Planning Reports which are then summarised for presentation to the Board.</w:t>
      </w:r>
    </w:p>
    <w:p w:rsidR="00534FC0" w:rsidRDefault="00534FC0" w:rsidP="007478CE">
      <w:pPr>
        <w:ind w:left="720" w:right="180"/>
        <w:rPr>
          <w:rFonts w:ascii="Arial" w:hAnsi="Arial" w:cs="Arial"/>
        </w:rPr>
      </w:pPr>
    </w:p>
    <w:p w:rsidR="00812CBD" w:rsidRDefault="00534FC0" w:rsidP="007478CE">
      <w:pPr>
        <w:ind w:left="720" w:right="180"/>
        <w:rPr>
          <w:rFonts w:ascii="Arial" w:hAnsi="Arial" w:cs="Arial"/>
        </w:rPr>
      </w:pPr>
      <w:r>
        <w:rPr>
          <w:rFonts w:ascii="Arial" w:hAnsi="Arial" w:cs="Arial"/>
        </w:rPr>
        <w:t>Referring Boards receive a monthly monitoring document which provides a detailed breakdown of the number of patients referred, their complexity and the number of theatre slots used to treat them</w:t>
      </w:r>
    </w:p>
    <w:p w:rsidR="00B0525B" w:rsidRPr="001175E5" w:rsidRDefault="00B0525B" w:rsidP="007478CE">
      <w:pPr>
        <w:ind w:left="720" w:right="183"/>
        <w:rPr>
          <w:rFonts w:ascii="Arial" w:hAnsi="Arial" w:cs="Arial"/>
        </w:rPr>
      </w:pPr>
      <w:r w:rsidRPr="001175E5">
        <w:rPr>
          <w:rFonts w:ascii="Arial" w:hAnsi="Arial" w:cs="Arial"/>
          <w:b/>
          <w:bCs/>
        </w:rPr>
        <w:tab/>
      </w:r>
    </w:p>
    <w:p w:rsidR="00812CBD" w:rsidRDefault="00812CBD" w:rsidP="007478CE">
      <w:pPr>
        <w:ind w:left="-360" w:firstLine="360"/>
        <w:rPr>
          <w:rFonts w:ascii="Arial" w:hAnsi="Arial" w:cs="Arial"/>
          <w:b/>
        </w:rPr>
      </w:pPr>
    </w:p>
    <w:p w:rsidR="00812CBD" w:rsidRDefault="00812CBD" w:rsidP="007478CE">
      <w:pPr>
        <w:ind w:left="-360" w:firstLine="360"/>
        <w:rPr>
          <w:rFonts w:ascii="Arial" w:hAnsi="Arial" w:cs="Arial"/>
          <w:b/>
        </w:rPr>
      </w:pPr>
    </w:p>
    <w:p w:rsidR="00812CBD" w:rsidRDefault="00812CBD" w:rsidP="007478CE">
      <w:pPr>
        <w:ind w:left="-360" w:firstLine="360"/>
        <w:rPr>
          <w:rFonts w:ascii="Arial" w:hAnsi="Arial" w:cs="Arial"/>
          <w:b/>
        </w:rPr>
      </w:pPr>
    </w:p>
    <w:p w:rsidR="0074139D" w:rsidRPr="00B50C50" w:rsidRDefault="0074139D" w:rsidP="007478CE">
      <w:pPr>
        <w:ind w:left="-360" w:firstLine="360"/>
        <w:rPr>
          <w:rFonts w:ascii="Arial" w:hAnsi="Arial" w:cs="Arial"/>
          <w:b/>
        </w:rPr>
      </w:pPr>
      <w:r>
        <w:rPr>
          <w:rFonts w:ascii="Arial" w:hAnsi="Arial" w:cs="Arial"/>
          <w:b/>
        </w:rPr>
        <w:lastRenderedPageBreak/>
        <w:t>2</w:t>
      </w:r>
      <w:r>
        <w:rPr>
          <w:rFonts w:ascii="Arial" w:hAnsi="Arial" w:cs="Arial"/>
          <w:b/>
        </w:rPr>
        <w:tab/>
      </w:r>
      <w:r w:rsidRPr="00B50C50">
        <w:rPr>
          <w:rFonts w:ascii="Arial" w:hAnsi="Arial" w:cs="Arial"/>
          <w:b/>
        </w:rPr>
        <w:t>Operational Governance</w:t>
      </w:r>
    </w:p>
    <w:p w:rsidR="0074139D" w:rsidRDefault="0074139D" w:rsidP="007478CE">
      <w:pPr>
        <w:ind w:left="-360"/>
        <w:rPr>
          <w:rFonts w:ascii="Arial" w:hAnsi="Arial" w:cs="Arial"/>
        </w:rPr>
      </w:pPr>
    </w:p>
    <w:p w:rsidR="00534FC0" w:rsidRDefault="00534FC0" w:rsidP="007478CE">
      <w:pPr>
        <w:ind w:left="720"/>
        <w:rPr>
          <w:rFonts w:ascii="Arial" w:hAnsi="Arial" w:cs="Arial"/>
          <w:b/>
        </w:rPr>
      </w:pPr>
      <w:r w:rsidRPr="00B50C50">
        <w:rPr>
          <w:rFonts w:ascii="Arial" w:hAnsi="Arial" w:cs="Arial"/>
          <w:b/>
        </w:rPr>
        <w:t>In</w:t>
      </w:r>
      <w:r w:rsidR="00241892">
        <w:rPr>
          <w:rFonts w:ascii="Arial" w:hAnsi="Arial" w:cs="Arial"/>
          <w:b/>
        </w:rPr>
        <w:t>p</w:t>
      </w:r>
      <w:r w:rsidRPr="00B50C50">
        <w:rPr>
          <w:rFonts w:ascii="Arial" w:hAnsi="Arial" w:cs="Arial"/>
          <w:b/>
        </w:rPr>
        <w:t>atient/Day Case</w:t>
      </w:r>
      <w:r>
        <w:rPr>
          <w:rFonts w:ascii="Arial" w:hAnsi="Arial" w:cs="Arial"/>
          <w:b/>
        </w:rPr>
        <w:t>/Diagnostic Imaging</w:t>
      </w:r>
      <w:r w:rsidRPr="00B50C50">
        <w:rPr>
          <w:rFonts w:ascii="Arial" w:hAnsi="Arial" w:cs="Arial"/>
          <w:b/>
        </w:rPr>
        <w:t xml:space="preserve"> Activity Analysis </w:t>
      </w:r>
      <w:r>
        <w:rPr>
          <w:rFonts w:ascii="Arial" w:hAnsi="Arial" w:cs="Arial"/>
          <w:b/>
        </w:rPr>
        <w:t>May 2019</w:t>
      </w:r>
    </w:p>
    <w:p w:rsidR="00534FC0" w:rsidRDefault="00534FC0" w:rsidP="007478CE">
      <w:pPr>
        <w:ind w:left="360" w:firstLine="360"/>
        <w:rPr>
          <w:rFonts w:ascii="Arial" w:hAnsi="Arial" w:cs="Arial"/>
          <w:b/>
        </w:rPr>
      </w:pPr>
    </w:p>
    <w:p w:rsidR="00534FC0" w:rsidRDefault="00534FC0" w:rsidP="007478CE">
      <w:pPr>
        <w:ind w:left="720"/>
        <w:rPr>
          <w:rFonts w:ascii="Arial" w:hAnsi="Arial" w:cs="Arial"/>
        </w:rPr>
      </w:pPr>
      <w:r>
        <w:rPr>
          <w:rFonts w:ascii="Arial" w:hAnsi="Arial" w:cs="Arial"/>
        </w:rPr>
        <w:t xml:space="preserve">Activity for inpatients/day case procedures measured against a projection of 18,314 (which excludes cardiothoracic/cardiology activity) was behind plan by 8.5% for the month of May when activity is adjusted to reflect complexity (Appendix B) and 8.4% behind plan for the month and 7.3% behind the year to date plan. </w:t>
      </w:r>
    </w:p>
    <w:p w:rsidR="00534FC0" w:rsidRDefault="00534FC0" w:rsidP="007478CE">
      <w:pPr>
        <w:ind w:left="720"/>
        <w:rPr>
          <w:rFonts w:ascii="Arial" w:hAnsi="Arial" w:cs="Arial"/>
        </w:rPr>
      </w:pPr>
    </w:p>
    <w:p w:rsidR="00534FC0" w:rsidRDefault="00534FC0" w:rsidP="007478CE">
      <w:pPr>
        <w:ind w:left="720"/>
        <w:rPr>
          <w:rFonts w:ascii="Arial" w:hAnsi="Arial" w:cs="Arial"/>
        </w:rPr>
      </w:pPr>
      <w:r w:rsidRPr="005D1E9E">
        <w:rPr>
          <w:rFonts w:ascii="Arial" w:hAnsi="Arial" w:cs="Arial"/>
        </w:rPr>
        <w:t xml:space="preserve">Measured against </w:t>
      </w:r>
      <w:r>
        <w:rPr>
          <w:rFonts w:ascii="Arial" w:hAnsi="Arial" w:cs="Arial"/>
        </w:rPr>
        <w:t xml:space="preserve">a total activity projection of 61,734, the </w:t>
      </w:r>
      <w:r w:rsidRPr="005D1E9E">
        <w:rPr>
          <w:rFonts w:ascii="Arial" w:hAnsi="Arial" w:cs="Arial"/>
        </w:rPr>
        <w:t xml:space="preserve">combined </w:t>
      </w:r>
      <w:r>
        <w:rPr>
          <w:rFonts w:ascii="Arial" w:hAnsi="Arial" w:cs="Arial"/>
        </w:rPr>
        <w:t>in</w:t>
      </w:r>
      <w:r w:rsidRPr="005D1E9E">
        <w:rPr>
          <w:rFonts w:ascii="Arial" w:hAnsi="Arial" w:cs="Arial"/>
        </w:rPr>
        <w:t xml:space="preserve">patient/day case and imaging activity at </w:t>
      </w:r>
      <w:r>
        <w:rPr>
          <w:rFonts w:ascii="Arial" w:hAnsi="Arial" w:cs="Arial"/>
        </w:rPr>
        <w:t>the end of May</w:t>
      </w:r>
      <w:r w:rsidRPr="005D1E9E">
        <w:rPr>
          <w:rFonts w:ascii="Arial" w:hAnsi="Arial" w:cs="Arial"/>
        </w:rPr>
        <w:t xml:space="preserve"> </w:t>
      </w:r>
      <w:r w:rsidRPr="00D57FC8">
        <w:rPr>
          <w:rFonts w:ascii="Arial" w:hAnsi="Arial" w:cs="Arial"/>
        </w:rPr>
        <w:t>was</w:t>
      </w:r>
      <w:r>
        <w:rPr>
          <w:rFonts w:ascii="Arial" w:hAnsi="Arial" w:cs="Arial"/>
        </w:rPr>
        <w:t xml:space="preserve"> behind plan by 6.2</w:t>
      </w:r>
      <w:r w:rsidRPr="00B355CC">
        <w:rPr>
          <w:rFonts w:ascii="Arial" w:hAnsi="Arial" w:cs="Arial"/>
        </w:rPr>
        <w:t xml:space="preserve">% for the month of </w:t>
      </w:r>
      <w:r>
        <w:rPr>
          <w:rFonts w:ascii="Arial" w:hAnsi="Arial" w:cs="Arial"/>
        </w:rPr>
        <w:t>May w</w:t>
      </w:r>
      <w:r w:rsidRPr="005D1E9E">
        <w:rPr>
          <w:rFonts w:ascii="Arial" w:hAnsi="Arial" w:cs="Arial"/>
        </w:rPr>
        <w:t>hen adjusted to reflect complexity (Appendix B</w:t>
      </w:r>
      <w:r>
        <w:rPr>
          <w:rFonts w:ascii="Arial" w:hAnsi="Arial" w:cs="Arial"/>
        </w:rPr>
        <w:t xml:space="preserve">) and -3.9% behind the target </w:t>
      </w:r>
      <w:r w:rsidRPr="00B355CC">
        <w:rPr>
          <w:rFonts w:ascii="Arial" w:hAnsi="Arial" w:cs="Arial"/>
        </w:rPr>
        <w:t>of the year to date</w:t>
      </w:r>
      <w:r>
        <w:rPr>
          <w:rFonts w:ascii="Arial" w:hAnsi="Arial" w:cs="Arial"/>
        </w:rPr>
        <w:t>.</w:t>
      </w:r>
    </w:p>
    <w:p w:rsidR="00534FC0" w:rsidRDefault="00534FC0" w:rsidP="007478CE">
      <w:pPr>
        <w:ind w:left="-360"/>
        <w:rPr>
          <w:rFonts w:ascii="Arial" w:hAnsi="Arial" w:cs="Arial"/>
        </w:rPr>
      </w:pPr>
    </w:p>
    <w:p w:rsidR="00534FC0" w:rsidRDefault="00534FC0" w:rsidP="007478CE">
      <w:pPr>
        <w:ind w:left="360"/>
        <w:rPr>
          <w:rFonts w:ascii="Arial" w:hAnsi="Arial" w:cs="Arial"/>
          <w:b/>
        </w:rPr>
      </w:pPr>
    </w:p>
    <w:p w:rsidR="00534FC0" w:rsidRPr="008A7AAB" w:rsidRDefault="00534FC0" w:rsidP="007478CE">
      <w:pPr>
        <w:rPr>
          <w:rFonts w:ascii="Arial" w:hAnsi="Arial" w:cs="Arial"/>
          <w:b/>
        </w:rPr>
      </w:pPr>
      <w:r>
        <w:rPr>
          <w:rFonts w:ascii="Arial" w:hAnsi="Arial" w:cs="Arial"/>
          <w:b/>
        </w:rPr>
        <w:t xml:space="preserve">3. </w:t>
      </w:r>
      <w:r w:rsidR="009E4BF5">
        <w:rPr>
          <w:rFonts w:ascii="Arial" w:hAnsi="Arial" w:cs="Arial"/>
          <w:b/>
        </w:rPr>
        <w:tab/>
      </w:r>
      <w:r w:rsidRPr="008A7AAB">
        <w:rPr>
          <w:rFonts w:ascii="Arial" w:hAnsi="Arial" w:cs="Arial"/>
          <w:b/>
        </w:rPr>
        <w:t xml:space="preserve">Analysis of Performance Against Plan at End </w:t>
      </w:r>
      <w:r>
        <w:rPr>
          <w:rFonts w:ascii="Arial" w:hAnsi="Arial" w:cs="Arial"/>
          <w:b/>
        </w:rPr>
        <w:t>May 2019</w:t>
      </w:r>
    </w:p>
    <w:p w:rsidR="00534FC0" w:rsidRDefault="00534FC0" w:rsidP="007478CE">
      <w:pPr>
        <w:ind w:left="-360"/>
        <w:rPr>
          <w:rFonts w:ascii="Arial" w:hAnsi="Arial" w:cs="Arial"/>
        </w:rPr>
      </w:pPr>
    </w:p>
    <w:p w:rsidR="00534FC0" w:rsidRDefault="00B7746D" w:rsidP="007478CE">
      <w:pPr>
        <w:pStyle w:val="BodyTextIndent3"/>
        <w:spacing w:after="0"/>
        <w:ind w:left="0" w:right="-360"/>
        <w:rPr>
          <w:rFonts w:ascii="Arial" w:hAnsi="Arial" w:cs="Arial"/>
          <w:b/>
          <w:sz w:val="24"/>
        </w:rPr>
      </w:pPr>
      <w:r>
        <w:rPr>
          <w:rFonts w:ascii="Arial" w:hAnsi="Arial" w:cs="Arial"/>
          <w:b/>
          <w:sz w:val="24"/>
        </w:rPr>
        <w:t xml:space="preserve">3.1 </w:t>
      </w:r>
      <w:r w:rsidR="009E4BF5">
        <w:rPr>
          <w:rFonts w:ascii="Arial" w:hAnsi="Arial" w:cs="Arial"/>
          <w:b/>
          <w:sz w:val="24"/>
        </w:rPr>
        <w:tab/>
      </w:r>
      <w:r w:rsidR="00241892">
        <w:rPr>
          <w:rFonts w:ascii="Arial" w:hAnsi="Arial" w:cs="Arial"/>
          <w:b/>
          <w:sz w:val="24"/>
        </w:rPr>
        <w:t>Orthopaedic Surgery</w:t>
      </w:r>
    </w:p>
    <w:p w:rsidR="00B7746D" w:rsidRPr="000B7F9B" w:rsidRDefault="00B7746D" w:rsidP="007478CE">
      <w:pPr>
        <w:pStyle w:val="BodyTextIndent3"/>
        <w:spacing w:after="0"/>
        <w:ind w:left="0" w:right="-360"/>
        <w:rPr>
          <w:rFonts w:ascii="Arial" w:hAnsi="Arial" w:cs="Arial"/>
          <w:b/>
          <w:sz w:val="24"/>
        </w:rPr>
      </w:pPr>
    </w:p>
    <w:p w:rsidR="00534FC0" w:rsidRDefault="00534FC0" w:rsidP="007478CE">
      <w:pPr>
        <w:pStyle w:val="BodyTextIndent3"/>
        <w:spacing w:after="0"/>
        <w:ind w:left="720"/>
        <w:rPr>
          <w:rFonts w:ascii="Arial" w:hAnsi="Arial" w:cs="Arial"/>
          <w:sz w:val="24"/>
        </w:rPr>
      </w:pPr>
      <w:r w:rsidRPr="009D7B6C">
        <w:rPr>
          <w:rFonts w:ascii="Arial" w:hAnsi="Arial" w:cs="Arial"/>
          <w:sz w:val="24"/>
        </w:rPr>
        <w:t xml:space="preserve">The annual target for orthopaedic joint replacements </w:t>
      </w:r>
      <w:r>
        <w:rPr>
          <w:rFonts w:ascii="Arial" w:hAnsi="Arial" w:cs="Arial"/>
          <w:sz w:val="24"/>
        </w:rPr>
        <w:t>for 2019/20 is based on 4</w:t>
      </w:r>
      <w:r w:rsidR="00241892">
        <w:rPr>
          <w:rFonts w:ascii="Arial" w:hAnsi="Arial" w:cs="Arial"/>
          <w:sz w:val="24"/>
        </w:rPr>
        <w:t>,</w:t>
      </w:r>
      <w:r>
        <w:rPr>
          <w:rFonts w:ascii="Arial" w:hAnsi="Arial" w:cs="Arial"/>
          <w:sz w:val="24"/>
        </w:rPr>
        <w:t>003 primary joint replacements</w:t>
      </w:r>
      <w:r w:rsidRPr="009D7B6C">
        <w:rPr>
          <w:rFonts w:ascii="Arial" w:hAnsi="Arial" w:cs="Arial"/>
          <w:sz w:val="24"/>
        </w:rPr>
        <w:t xml:space="preserve">.  This number is calculated on the basis of one patient to one theatre slot.  Each session equals two </w:t>
      </w:r>
      <w:r>
        <w:rPr>
          <w:rFonts w:ascii="Arial" w:hAnsi="Arial" w:cs="Arial"/>
          <w:sz w:val="24"/>
        </w:rPr>
        <w:t xml:space="preserve">primary joint </w:t>
      </w:r>
      <w:r w:rsidRPr="009D7B6C">
        <w:rPr>
          <w:rFonts w:ascii="Arial" w:hAnsi="Arial" w:cs="Arial"/>
          <w:sz w:val="24"/>
        </w:rPr>
        <w:t>theatre slots.</w:t>
      </w:r>
      <w:r>
        <w:rPr>
          <w:rFonts w:ascii="Arial" w:hAnsi="Arial" w:cs="Arial"/>
          <w:sz w:val="24"/>
        </w:rPr>
        <w:t xml:space="preserve">  However, based on experience over the recent years, we have made the assumption that t</w:t>
      </w:r>
      <w:r w:rsidRPr="003821FC">
        <w:rPr>
          <w:rFonts w:ascii="Arial" w:hAnsi="Arial" w:cs="Arial"/>
          <w:sz w:val="24"/>
        </w:rPr>
        <w:t xml:space="preserve">he number of complex joint replacements </w:t>
      </w:r>
      <w:r>
        <w:rPr>
          <w:rFonts w:ascii="Arial" w:hAnsi="Arial" w:cs="Arial"/>
          <w:sz w:val="24"/>
        </w:rPr>
        <w:t xml:space="preserve">likely to be referred </w:t>
      </w:r>
      <w:r w:rsidRPr="003821FC">
        <w:rPr>
          <w:rFonts w:ascii="Arial" w:hAnsi="Arial" w:cs="Arial"/>
          <w:sz w:val="24"/>
        </w:rPr>
        <w:t>for treatment</w:t>
      </w:r>
      <w:r>
        <w:rPr>
          <w:rFonts w:ascii="Arial" w:hAnsi="Arial" w:cs="Arial"/>
          <w:sz w:val="24"/>
        </w:rPr>
        <w:t xml:space="preserve"> would be approximately 9</w:t>
      </w:r>
      <w:r w:rsidRPr="003821FC">
        <w:rPr>
          <w:rFonts w:ascii="Arial" w:hAnsi="Arial" w:cs="Arial"/>
          <w:sz w:val="24"/>
        </w:rPr>
        <w:t>%</w:t>
      </w:r>
      <w:r>
        <w:rPr>
          <w:rFonts w:ascii="Arial" w:hAnsi="Arial" w:cs="Arial"/>
          <w:sz w:val="24"/>
        </w:rPr>
        <w:t xml:space="preserve">.  </w:t>
      </w:r>
      <w:r w:rsidRPr="003821FC">
        <w:rPr>
          <w:rFonts w:ascii="Arial" w:hAnsi="Arial" w:cs="Arial"/>
          <w:sz w:val="24"/>
        </w:rPr>
        <w:t>These procedures typically take the eq</w:t>
      </w:r>
      <w:r w:rsidR="00241892">
        <w:rPr>
          <w:rFonts w:ascii="Arial" w:hAnsi="Arial" w:cs="Arial"/>
          <w:sz w:val="24"/>
        </w:rPr>
        <w:t>uivalent theatre space of 1.5-</w:t>
      </w:r>
      <w:r w:rsidRPr="003821FC">
        <w:rPr>
          <w:rFonts w:ascii="Arial" w:hAnsi="Arial" w:cs="Arial"/>
          <w:sz w:val="24"/>
        </w:rPr>
        <w:t>2 primary joint replacements.</w:t>
      </w:r>
      <w:r>
        <w:rPr>
          <w:rFonts w:ascii="Arial" w:hAnsi="Arial" w:cs="Arial"/>
          <w:sz w:val="24"/>
        </w:rPr>
        <w:t xml:space="preserve">  </w:t>
      </w:r>
    </w:p>
    <w:p w:rsidR="00534FC0" w:rsidRDefault="00534FC0" w:rsidP="007478CE">
      <w:pPr>
        <w:pStyle w:val="BodyTextIndent3"/>
        <w:spacing w:after="0"/>
        <w:ind w:left="720"/>
        <w:rPr>
          <w:rFonts w:ascii="Arial" w:hAnsi="Arial" w:cs="Arial"/>
          <w:sz w:val="24"/>
        </w:rPr>
      </w:pPr>
    </w:p>
    <w:p w:rsidR="00534FC0" w:rsidRDefault="00534FC0" w:rsidP="007478CE">
      <w:pPr>
        <w:pStyle w:val="BodyTextIndent3"/>
        <w:spacing w:after="0"/>
        <w:ind w:left="720"/>
        <w:rPr>
          <w:rFonts w:ascii="Arial" w:hAnsi="Arial" w:cs="Arial"/>
          <w:sz w:val="24"/>
        </w:rPr>
      </w:pPr>
      <w:r>
        <w:rPr>
          <w:rFonts w:ascii="Arial" w:hAnsi="Arial" w:cs="Arial"/>
          <w:sz w:val="24"/>
        </w:rPr>
        <w:t>In addition to the 4</w:t>
      </w:r>
      <w:r w:rsidR="00241892">
        <w:rPr>
          <w:rFonts w:ascii="Arial" w:hAnsi="Arial" w:cs="Arial"/>
          <w:sz w:val="24"/>
        </w:rPr>
        <w:t>,</w:t>
      </w:r>
      <w:r>
        <w:rPr>
          <w:rFonts w:ascii="Arial" w:hAnsi="Arial" w:cs="Arial"/>
          <w:sz w:val="24"/>
        </w:rPr>
        <w:t>003 primary joint replacements, there is a target number of 931 orthopaedic non joint procedures and 550 foot and ankle procedures for the year.  This equates to a total of 5</w:t>
      </w:r>
      <w:r w:rsidR="00241892">
        <w:rPr>
          <w:rFonts w:ascii="Arial" w:hAnsi="Arial" w:cs="Arial"/>
          <w:sz w:val="24"/>
        </w:rPr>
        <w:t>,</w:t>
      </w:r>
      <w:r>
        <w:rPr>
          <w:rFonts w:ascii="Arial" w:hAnsi="Arial" w:cs="Arial"/>
          <w:sz w:val="24"/>
        </w:rPr>
        <w:t>484 orthopaedic theatre slots per annum (as documented in Appendix B).</w:t>
      </w:r>
    </w:p>
    <w:p w:rsidR="00534FC0" w:rsidRDefault="00534FC0" w:rsidP="007478CE">
      <w:pPr>
        <w:pStyle w:val="BodyTextIndent3"/>
        <w:spacing w:after="0"/>
        <w:ind w:left="720"/>
        <w:rPr>
          <w:rFonts w:ascii="Arial" w:hAnsi="Arial" w:cs="Arial"/>
          <w:sz w:val="24"/>
        </w:rPr>
      </w:pPr>
    </w:p>
    <w:p w:rsidR="00534FC0" w:rsidRDefault="00534FC0" w:rsidP="007478CE">
      <w:pPr>
        <w:pStyle w:val="BodyTextIndent3"/>
        <w:spacing w:after="0"/>
        <w:ind w:left="720"/>
        <w:rPr>
          <w:rFonts w:ascii="Arial" w:hAnsi="Arial" w:cs="Arial"/>
          <w:sz w:val="24"/>
        </w:rPr>
      </w:pPr>
      <w:r>
        <w:rPr>
          <w:rFonts w:ascii="Arial" w:hAnsi="Arial" w:cs="Arial"/>
          <w:sz w:val="24"/>
        </w:rPr>
        <w:t xml:space="preserve">At the end of May, orthopaedic joint activity was ahead of plan by 29 joint replacements, </w:t>
      </w:r>
      <w:r w:rsidR="00241892">
        <w:rPr>
          <w:rFonts w:ascii="Arial" w:hAnsi="Arial" w:cs="Arial"/>
          <w:sz w:val="24"/>
        </w:rPr>
        <w:t>seven</w:t>
      </w:r>
      <w:r>
        <w:rPr>
          <w:rFonts w:ascii="Arial" w:hAnsi="Arial" w:cs="Arial"/>
          <w:sz w:val="24"/>
        </w:rPr>
        <w:t xml:space="preserve"> foot and ankle procedures were 29 ‘non joint’ procedures behind plan.  Overall, orthopaedic surgery in procedures/theatre slots is ahead of the year to date plan.</w:t>
      </w:r>
    </w:p>
    <w:p w:rsidR="00534FC0" w:rsidRDefault="00534FC0" w:rsidP="007478CE">
      <w:pPr>
        <w:pStyle w:val="BodyTextIndent3"/>
        <w:spacing w:after="0"/>
        <w:ind w:left="0"/>
        <w:rPr>
          <w:rFonts w:ascii="Arial" w:hAnsi="Arial" w:cs="Arial"/>
          <w:sz w:val="24"/>
        </w:rPr>
      </w:pPr>
    </w:p>
    <w:p w:rsidR="00534FC0" w:rsidRPr="00FD6400" w:rsidRDefault="00B7746D" w:rsidP="007478CE">
      <w:pPr>
        <w:pStyle w:val="BodyTextIndent3"/>
        <w:spacing w:after="0"/>
        <w:ind w:left="0"/>
        <w:rPr>
          <w:rFonts w:ascii="Arial" w:hAnsi="Arial" w:cs="Arial"/>
          <w:b/>
          <w:sz w:val="24"/>
        </w:rPr>
      </w:pPr>
      <w:r>
        <w:rPr>
          <w:rFonts w:ascii="Arial" w:hAnsi="Arial" w:cs="Arial"/>
          <w:b/>
          <w:sz w:val="24"/>
        </w:rPr>
        <w:t xml:space="preserve">3.2 </w:t>
      </w:r>
      <w:r w:rsidR="009E4BF5">
        <w:rPr>
          <w:rFonts w:ascii="Arial" w:hAnsi="Arial" w:cs="Arial"/>
          <w:b/>
          <w:sz w:val="24"/>
        </w:rPr>
        <w:tab/>
      </w:r>
      <w:r w:rsidR="00534FC0" w:rsidRPr="00FD6400">
        <w:rPr>
          <w:rFonts w:ascii="Arial" w:hAnsi="Arial" w:cs="Arial"/>
          <w:b/>
          <w:sz w:val="24"/>
        </w:rPr>
        <w:t>Ophthalmic Surgery</w:t>
      </w:r>
    </w:p>
    <w:p w:rsidR="00534FC0" w:rsidRDefault="00534FC0" w:rsidP="007478CE">
      <w:pPr>
        <w:pStyle w:val="BodyTextIndent3"/>
        <w:spacing w:after="0"/>
        <w:ind w:left="0"/>
        <w:rPr>
          <w:rFonts w:ascii="Arial" w:hAnsi="Arial" w:cs="Arial"/>
          <w:sz w:val="24"/>
        </w:rPr>
      </w:pPr>
    </w:p>
    <w:p w:rsidR="00534FC0" w:rsidRDefault="00534FC0" w:rsidP="007478CE">
      <w:pPr>
        <w:pStyle w:val="BodyTextIndent3"/>
        <w:spacing w:after="0"/>
        <w:ind w:left="720"/>
        <w:rPr>
          <w:rFonts w:ascii="Arial" w:hAnsi="Arial" w:cs="Arial"/>
          <w:sz w:val="24"/>
        </w:rPr>
      </w:pPr>
      <w:r>
        <w:rPr>
          <w:rFonts w:ascii="Arial" w:hAnsi="Arial" w:cs="Arial"/>
          <w:sz w:val="24"/>
        </w:rPr>
        <w:t xml:space="preserve">Ophthalmology activity was behind the monthly plan by 66 procedures for the month of May and behind the year to date plan by 107 procedures. </w:t>
      </w:r>
    </w:p>
    <w:p w:rsidR="00534FC0" w:rsidRDefault="00534FC0" w:rsidP="007478CE">
      <w:pPr>
        <w:pStyle w:val="BodyTextIndent3"/>
        <w:spacing w:after="0"/>
        <w:ind w:left="0"/>
        <w:rPr>
          <w:rFonts w:ascii="Arial" w:hAnsi="Arial" w:cs="Arial"/>
          <w:b/>
          <w:sz w:val="24"/>
        </w:rPr>
      </w:pPr>
    </w:p>
    <w:p w:rsidR="00534FC0" w:rsidRDefault="00B7746D" w:rsidP="007478CE">
      <w:pPr>
        <w:pStyle w:val="BodyTextIndent3"/>
        <w:spacing w:after="0"/>
        <w:ind w:left="0"/>
        <w:rPr>
          <w:rFonts w:ascii="Arial" w:hAnsi="Arial" w:cs="Arial"/>
          <w:b/>
          <w:sz w:val="24"/>
        </w:rPr>
      </w:pPr>
      <w:r>
        <w:rPr>
          <w:rFonts w:ascii="Arial" w:hAnsi="Arial" w:cs="Arial"/>
          <w:b/>
          <w:sz w:val="24"/>
        </w:rPr>
        <w:t xml:space="preserve">3.3 </w:t>
      </w:r>
      <w:r w:rsidR="009E4BF5">
        <w:rPr>
          <w:rFonts w:ascii="Arial" w:hAnsi="Arial" w:cs="Arial"/>
          <w:b/>
          <w:sz w:val="24"/>
        </w:rPr>
        <w:tab/>
      </w:r>
      <w:r w:rsidR="00534FC0">
        <w:rPr>
          <w:rFonts w:ascii="Arial" w:hAnsi="Arial" w:cs="Arial"/>
          <w:b/>
          <w:sz w:val="24"/>
        </w:rPr>
        <w:t>General Surgery</w:t>
      </w:r>
    </w:p>
    <w:p w:rsidR="007478CE" w:rsidRDefault="007478CE" w:rsidP="007478CE">
      <w:pPr>
        <w:pStyle w:val="BodyTextIndent3"/>
        <w:spacing w:after="0"/>
        <w:ind w:left="0"/>
        <w:rPr>
          <w:rFonts w:ascii="Arial" w:hAnsi="Arial" w:cs="Arial"/>
          <w:b/>
          <w:sz w:val="24"/>
        </w:rPr>
      </w:pPr>
    </w:p>
    <w:p w:rsidR="00534FC0" w:rsidRDefault="00534FC0" w:rsidP="007478CE">
      <w:pPr>
        <w:pStyle w:val="BodyTextIndent3"/>
        <w:spacing w:after="0"/>
        <w:ind w:left="720"/>
        <w:rPr>
          <w:rFonts w:ascii="Arial" w:hAnsi="Arial" w:cs="Arial"/>
          <w:sz w:val="24"/>
        </w:rPr>
      </w:pPr>
      <w:r>
        <w:rPr>
          <w:rFonts w:ascii="Arial" w:hAnsi="Arial" w:cs="Arial"/>
          <w:sz w:val="24"/>
        </w:rPr>
        <w:t>General surgery per</w:t>
      </w:r>
      <w:r w:rsidR="00241892">
        <w:rPr>
          <w:rFonts w:ascii="Arial" w:hAnsi="Arial" w:cs="Arial"/>
          <w:sz w:val="24"/>
        </w:rPr>
        <w:t>formed slightly behind plan by one</w:t>
      </w:r>
      <w:r>
        <w:rPr>
          <w:rFonts w:ascii="Arial" w:hAnsi="Arial" w:cs="Arial"/>
          <w:sz w:val="24"/>
        </w:rPr>
        <w:t xml:space="preserve"> procedure for the month of May and 18 behind the year to date plan. </w:t>
      </w:r>
    </w:p>
    <w:p w:rsidR="009E4BF5" w:rsidRDefault="009E4BF5" w:rsidP="007478CE">
      <w:pPr>
        <w:pStyle w:val="BodyTextIndent3"/>
        <w:spacing w:after="0"/>
        <w:ind w:left="0"/>
        <w:rPr>
          <w:rFonts w:ascii="Arial" w:hAnsi="Arial" w:cs="Arial"/>
          <w:b/>
          <w:sz w:val="24"/>
        </w:rPr>
      </w:pPr>
    </w:p>
    <w:p w:rsidR="007478CE" w:rsidRDefault="007478CE" w:rsidP="007478CE">
      <w:pPr>
        <w:pStyle w:val="BodyTextIndent3"/>
        <w:spacing w:after="0"/>
        <w:ind w:left="0"/>
        <w:rPr>
          <w:rFonts w:ascii="Arial" w:hAnsi="Arial" w:cs="Arial"/>
          <w:b/>
          <w:sz w:val="24"/>
        </w:rPr>
      </w:pPr>
    </w:p>
    <w:p w:rsidR="007478CE" w:rsidRDefault="007478CE" w:rsidP="007478CE">
      <w:pPr>
        <w:pStyle w:val="BodyTextIndent3"/>
        <w:spacing w:after="0"/>
        <w:ind w:left="0"/>
        <w:rPr>
          <w:rFonts w:ascii="Arial" w:hAnsi="Arial" w:cs="Arial"/>
          <w:b/>
          <w:sz w:val="24"/>
        </w:rPr>
      </w:pPr>
    </w:p>
    <w:p w:rsidR="00534FC0" w:rsidRDefault="00B7746D" w:rsidP="007478CE">
      <w:pPr>
        <w:pStyle w:val="BodyTextIndent3"/>
        <w:spacing w:after="0"/>
        <w:ind w:left="0"/>
        <w:rPr>
          <w:rFonts w:ascii="Arial" w:hAnsi="Arial" w:cs="Arial"/>
          <w:b/>
          <w:sz w:val="24"/>
        </w:rPr>
      </w:pPr>
      <w:r>
        <w:rPr>
          <w:rFonts w:ascii="Arial" w:hAnsi="Arial" w:cs="Arial"/>
          <w:b/>
          <w:sz w:val="24"/>
        </w:rPr>
        <w:lastRenderedPageBreak/>
        <w:t xml:space="preserve">3.4 </w:t>
      </w:r>
      <w:r>
        <w:rPr>
          <w:rFonts w:ascii="Arial" w:hAnsi="Arial" w:cs="Arial"/>
          <w:b/>
          <w:sz w:val="24"/>
        </w:rPr>
        <w:tab/>
      </w:r>
      <w:r w:rsidR="00534FC0">
        <w:rPr>
          <w:rFonts w:ascii="Arial" w:hAnsi="Arial" w:cs="Arial"/>
          <w:b/>
          <w:sz w:val="24"/>
        </w:rPr>
        <w:t>Plastic Surgery</w:t>
      </w:r>
    </w:p>
    <w:p w:rsidR="00534FC0" w:rsidRDefault="00534FC0" w:rsidP="007478CE">
      <w:pPr>
        <w:pStyle w:val="BodyTextIndent3"/>
        <w:spacing w:after="0"/>
        <w:ind w:left="0"/>
        <w:rPr>
          <w:rFonts w:ascii="Arial" w:hAnsi="Arial" w:cs="Arial"/>
          <w:b/>
          <w:sz w:val="24"/>
        </w:rPr>
      </w:pPr>
    </w:p>
    <w:p w:rsidR="00534FC0" w:rsidRDefault="00534FC0" w:rsidP="007478CE">
      <w:pPr>
        <w:pStyle w:val="BodyTextIndent3"/>
        <w:spacing w:after="0"/>
        <w:ind w:left="720"/>
        <w:rPr>
          <w:rFonts w:ascii="Arial" w:hAnsi="Arial" w:cs="Arial"/>
          <w:sz w:val="24"/>
        </w:rPr>
      </w:pPr>
      <w:r>
        <w:rPr>
          <w:rFonts w:ascii="Arial" w:hAnsi="Arial" w:cs="Arial"/>
          <w:sz w:val="24"/>
        </w:rPr>
        <w:t xml:space="preserve">For reporting purposes Plastic Surgery has been split and will be monitored throughout 2019/20 as hand surgery and minor plastic surgery.  </w:t>
      </w:r>
    </w:p>
    <w:p w:rsidR="00534FC0" w:rsidRDefault="00534FC0" w:rsidP="007478CE">
      <w:pPr>
        <w:pStyle w:val="BodyTextIndent3"/>
        <w:spacing w:after="0"/>
        <w:ind w:left="720"/>
        <w:rPr>
          <w:rFonts w:ascii="Arial" w:hAnsi="Arial" w:cs="Arial"/>
          <w:sz w:val="24"/>
        </w:rPr>
      </w:pPr>
    </w:p>
    <w:p w:rsidR="00534FC0" w:rsidRDefault="00534FC0" w:rsidP="007478CE">
      <w:pPr>
        <w:pStyle w:val="BodyTextIndent3"/>
        <w:spacing w:after="0"/>
        <w:ind w:left="720"/>
        <w:rPr>
          <w:rFonts w:ascii="Arial" w:hAnsi="Arial" w:cs="Arial"/>
          <w:sz w:val="24"/>
        </w:rPr>
      </w:pPr>
      <w:r>
        <w:rPr>
          <w:rFonts w:ascii="Arial" w:hAnsi="Arial" w:cs="Arial"/>
          <w:sz w:val="24"/>
        </w:rPr>
        <w:t>Hand surgery was s</w:t>
      </w:r>
      <w:r w:rsidR="00241892">
        <w:rPr>
          <w:rFonts w:ascii="Arial" w:hAnsi="Arial" w:cs="Arial"/>
          <w:sz w:val="24"/>
        </w:rPr>
        <w:t>lightly behind plan for May by two</w:t>
      </w:r>
      <w:r>
        <w:rPr>
          <w:rFonts w:ascii="Arial" w:hAnsi="Arial" w:cs="Arial"/>
          <w:sz w:val="24"/>
        </w:rPr>
        <w:t xml:space="preserve"> procedures. </w:t>
      </w:r>
    </w:p>
    <w:p w:rsidR="00534FC0" w:rsidRDefault="00534FC0" w:rsidP="007478CE">
      <w:pPr>
        <w:pStyle w:val="BodyTextIndent3"/>
        <w:spacing w:after="0"/>
        <w:ind w:left="720"/>
        <w:rPr>
          <w:rFonts w:ascii="Arial" w:hAnsi="Arial" w:cs="Arial"/>
          <w:b/>
          <w:sz w:val="24"/>
        </w:rPr>
      </w:pPr>
      <w:r>
        <w:rPr>
          <w:rFonts w:ascii="Arial" w:hAnsi="Arial" w:cs="Arial"/>
          <w:sz w:val="24"/>
        </w:rPr>
        <w:t xml:space="preserve">Minor plastic surgery was behind plan for May by </w:t>
      </w:r>
      <w:r w:rsidR="00241892">
        <w:rPr>
          <w:rFonts w:ascii="Arial" w:hAnsi="Arial" w:cs="Arial"/>
          <w:sz w:val="24"/>
        </w:rPr>
        <w:t>six</w:t>
      </w:r>
      <w:r>
        <w:rPr>
          <w:rFonts w:ascii="Arial" w:hAnsi="Arial" w:cs="Arial"/>
          <w:sz w:val="24"/>
        </w:rPr>
        <w:t xml:space="preserve"> procedures. </w:t>
      </w:r>
    </w:p>
    <w:p w:rsidR="00534FC0" w:rsidRDefault="00534FC0" w:rsidP="007478CE">
      <w:pPr>
        <w:pStyle w:val="BodyTextIndent3"/>
        <w:spacing w:after="0"/>
        <w:ind w:left="0"/>
        <w:rPr>
          <w:rFonts w:ascii="Arial" w:hAnsi="Arial" w:cs="Arial"/>
          <w:b/>
          <w:sz w:val="24"/>
        </w:rPr>
      </w:pPr>
    </w:p>
    <w:p w:rsidR="00534FC0" w:rsidRDefault="00B7746D" w:rsidP="007478CE">
      <w:pPr>
        <w:pStyle w:val="BodyTextIndent3"/>
        <w:spacing w:after="0"/>
        <w:ind w:left="0"/>
        <w:rPr>
          <w:rFonts w:ascii="Arial" w:hAnsi="Arial" w:cs="Arial"/>
          <w:b/>
          <w:sz w:val="24"/>
        </w:rPr>
      </w:pPr>
      <w:r>
        <w:rPr>
          <w:rFonts w:ascii="Arial" w:hAnsi="Arial" w:cs="Arial"/>
          <w:b/>
          <w:sz w:val="24"/>
        </w:rPr>
        <w:t xml:space="preserve">3.5 </w:t>
      </w:r>
      <w:r>
        <w:rPr>
          <w:rFonts w:ascii="Arial" w:hAnsi="Arial" w:cs="Arial"/>
          <w:b/>
          <w:sz w:val="24"/>
        </w:rPr>
        <w:tab/>
      </w:r>
      <w:r w:rsidR="00534FC0">
        <w:rPr>
          <w:rFonts w:ascii="Arial" w:hAnsi="Arial" w:cs="Arial"/>
          <w:b/>
          <w:sz w:val="24"/>
        </w:rPr>
        <w:t>Endoscopy</w:t>
      </w:r>
    </w:p>
    <w:p w:rsidR="00534FC0" w:rsidRDefault="00534FC0" w:rsidP="007478CE">
      <w:pPr>
        <w:pStyle w:val="BodyTextIndent3"/>
        <w:spacing w:after="0"/>
        <w:ind w:left="0"/>
        <w:rPr>
          <w:rFonts w:ascii="Arial" w:hAnsi="Arial" w:cs="Arial"/>
          <w:b/>
          <w:sz w:val="24"/>
        </w:rPr>
      </w:pPr>
    </w:p>
    <w:p w:rsidR="00534FC0" w:rsidRPr="00447210" w:rsidRDefault="00534FC0" w:rsidP="007478CE">
      <w:pPr>
        <w:pStyle w:val="BodyTextIndent3"/>
        <w:spacing w:after="0"/>
        <w:ind w:left="720"/>
        <w:rPr>
          <w:rFonts w:ascii="Arial" w:hAnsi="Arial" w:cs="Arial"/>
          <w:sz w:val="24"/>
        </w:rPr>
      </w:pPr>
      <w:r>
        <w:rPr>
          <w:rFonts w:ascii="Arial" w:hAnsi="Arial" w:cs="Arial"/>
          <w:sz w:val="24"/>
        </w:rPr>
        <w:t xml:space="preserve">The endoscopy activity was 60 behind the plan for May and 99 behind year to date. </w:t>
      </w:r>
    </w:p>
    <w:p w:rsidR="00534FC0" w:rsidRDefault="00534FC0" w:rsidP="007478CE">
      <w:pPr>
        <w:ind w:left="-360"/>
        <w:rPr>
          <w:rFonts w:ascii="Arial" w:hAnsi="Arial" w:cs="Arial"/>
        </w:rPr>
      </w:pPr>
    </w:p>
    <w:p w:rsidR="00B7746D" w:rsidRDefault="00B7746D" w:rsidP="007478CE">
      <w:pPr>
        <w:pStyle w:val="BodyTextIndent3"/>
        <w:spacing w:after="0"/>
        <w:ind w:left="0"/>
        <w:rPr>
          <w:rFonts w:ascii="Arial" w:hAnsi="Arial" w:cs="Arial"/>
          <w:b/>
          <w:sz w:val="24"/>
        </w:rPr>
      </w:pPr>
      <w:r>
        <w:rPr>
          <w:rFonts w:ascii="Arial" w:hAnsi="Arial" w:cs="Arial"/>
          <w:b/>
          <w:sz w:val="24"/>
        </w:rPr>
        <w:t xml:space="preserve">3.6 </w:t>
      </w:r>
      <w:r>
        <w:rPr>
          <w:rFonts w:ascii="Arial" w:hAnsi="Arial" w:cs="Arial"/>
          <w:b/>
          <w:sz w:val="24"/>
        </w:rPr>
        <w:tab/>
      </w:r>
      <w:r w:rsidRPr="00C729C5">
        <w:rPr>
          <w:rFonts w:ascii="Arial" w:hAnsi="Arial" w:cs="Arial"/>
          <w:b/>
          <w:sz w:val="24"/>
        </w:rPr>
        <w:t>Diagnostic Imaging</w:t>
      </w:r>
    </w:p>
    <w:p w:rsidR="007478CE" w:rsidRPr="00C3217E" w:rsidRDefault="007478CE" w:rsidP="007478CE">
      <w:pPr>
        <w:pStyle w:val="BodyTextIndent3"/>
        <w:spacing w:after="0"/>
        <w:ind w:left="0"/>
        <w:rPr>
          <w:rFonts w:ascii="Arial" w:hAnsi="Arial" w:cs="Arial"/>
          <w:b/>
          <w:sz w:val="24"/>
        </w:rPr>
      </w:pPr>
    </w:p>
    <w:p w:rsidR="00B7746D" w:rsidRDefault="00B7746D" w:rsidP="007478CE">
      <w:pPr>
        <w:pStyle w:val="BodyTextIndent3"/>
        <w:spacing w:after="0"/>
        <w:ind w:left="720"/>
        <w:rPr>
          <w:rFonts w:ascii="Arial" w:hAnsi="Arial" w:cs="Arial"/>
          <w:sz w:val="24"/>
        </w:rPr>
      </w:pPr>
      <w:r>
        <w:rPr>
          <w:rFonts w:ascii="Arial" w:hAnsi="Arial" w:cs="Arial"/>
          <w:sz w:val="24"/>
        </w:rPr>
        <w:t xml:space="preserve">The annual diagnostic imaging target has increased from 31,830 to 43,420 (36.42% increase) in 2019/20 to take account of the additional activity that would be carried out on the new </w:t>
      </w:r>
      <w:r w:rsidR="007478CE">
        <w:rPr>
          <w:rFonts w:ascii="Arial" w:hAnsi="Arial" w:cs="Arial"/>
          <w:sz w:val="24"/>
        </w:rPr>
        <w:t>Magnetic Resonance Imaging (</w:t>
      </w:r>
      <w:r>
        <w:rPr>
          <w:rFonts w:ascii="Arial" w:hAnsi="Arial" w:cs="Arial"/>
          <w:sz w:val="24"/>
        </w:rPr>
        <w:t>MRI</w:t>
      </w:r>
      <w:r w:rsidR="007478CE">
        <w:rPr>
          <w:rFonts w:ascii="Arial" w:hAnsi="Arial" w:cs="Arial"/>
          <w:sz w:val="24"/>
        </w:rPr>
        <w:t>)</w:t>
      </w:r>
      <w:r>
        <w:rPr>
          <w:rFonts w:ascii="Arial" w:hAnsi="Arial" w:cs="Arial"/>
          <w:sz w:val="24"/>
        </w:rPr>
        <w:t xml:space="preserve"> and</w:t>
      </w:r>
      <w:r w:rsidR="007478CE">
        <w:rPr>
          <w:rFonts w:ascii="Arial" w:hAnsi="Arial" w:cs="Arial"/>
          <w:sz w:val="24"/>
        </w:rPr>
        <w:t xml:space="preserve"> Computer Tomography (</w:t>
      </w:r>
      <w:r>
        <w:rPr>
          <w:rFonts w:ascii="Arial" w:hAnsi="Arial" w:cs="Arial"/>
          <w:sz w:val="24"/>
        </w:rPr>
        <w:t>CT</w:t>
      </w:r>
      <w:r w:rsidR="007478CE">
        <w:rPr>
          <w:rFonts w:ascii="Arial" w:hAnsi="Arial" w:cs="Arial"/>
          <w:sz w:val="24"/>
        </w:rPr>
        <w:t>)</w:t>
      </w:r>
      <w:r>
        <w:rPr>
          <w:rFonts w:ascii="Arial" w:hAnsi="Arial" w:cs="Arial"/>
          <w:sz w:val="24"/>
        </w:rPr>
        <w:t xml:space="preserve"> scanners</w:t>
      </w:r>
      <w:r w:rsidRPr="00B355CC">
        <w:rPr>
          <w:rFonts w:ascii="Arial" w:hAnsi="Arial" w:cs="Arial"/>
          <w:sz w:val="24"/>
        </w:rPr>
        <w:t>.</w:t>
      </w:r>
    </w:p>
    <w:p w:rsidR="007478CE" w:rsidRDefault="007478CE" w:rsidP="007478CE">
      <w:pPr>
        <w:pStyle w:val="BodyTextIndent3"/>
        <w:spacing w:after="0"/>
        <w:ind w:left="720"/>
        <w:rPr>
          <w:rFonts w:ascii="Arial" w:hAnsi="Arial" w:cs="Arial"/>
          <w:sz w:val="24"/>
        </w:rPr>
      </w:pPr>
    </w:p>
    <w:p w:rsidR="00B7746D" w:rsidRDefault="00B7746D" w:rsidP="007478CE">
      <w:pPr>
        <w:pStyle w:val="BodyTextIndent3"/>
        <w:spacing w:after="0"/>
        <w:ind w:left="720"/>
        <w:rPr>
          <w:rFonts w:ascii="Arial" w:hAnsi="Arial" w:cs="Arial"/>
          <w:sz w:val="24"/>
        </w:rPr>
      </w:pPr>
      <w:r>
        <w:rPr>
          <w:rFonts w:ascii="Arial" w:hAnsi="Arial" w:cs="Arial"/>
          <w:sz w:val="24"/>
        </w:rPr>
        <w:t>Overall</w:t>
      </w:r>
      <w:r w:rsidR="007478CE">
        <w:rPr>
          <w:rFonts w:ascii="Arial" w:hAnsi="Arial" w:cs="Arial"/>
          <w:sz w:val="24"/>
        </w:rPr>
        <w:t>,</w:t>
      </w:r>
      <w:r>
        <w:rPr>
          <w:rFonts w:ascii="Arial" w:hAnsi="Arial" w:cs="Arial"/>
          <w:sz w:val="24"/>
        </w:rPr>
        <w:t xml:space="preserve"> diagnostic imaging activity was 200 examinations behind the plan for the month of May and is 178 behind the year to date plan.</w:t>
      </w:r>
    </w:p>
    <w:p w:rsidR="00B7746D" w:rsidRDefault="00B7746D" w:rsidP="007478CE">
      <w:pPr>
        <w:pStyle w:val="BodyTextIndent3"/>
        <w:spacing w:after="0"/>
        <w:ind w:left="0"/>
        <w:rPr>
          <w:rFonts w:ascii="Arial" w:hAnsi="Arial" w:cs="Arial"/>
          <w:sz w:val="24"/>
        </w:rPr>
      </w:pPr>
    </w:p>
    <w:p w:rsidR="00B7746D" w:rsidRDefault="00B7746D" w:rsidP="007478CE">
      <w:pPr>
        <w:rPr>
          <w:rFonts w:ascii="Arial" w:hAnsi="Arial" w:cs="Arial"/>
          <w:b/>
        </w:rPr>
      </w:pPr>
      <w:r>
        <w:rPr>
          <w:rFonts w:ascii="Arial" w:hAnsi="Arial" w:cs="Arial"/>
          <w:b/>
        </w:rPr>
        <w:t xml:space="preserve">4. </w:t>
      </w:r>
      <w:r>
        <w:rPr>
          <w:rFonts w:ascii="Arial" w:hAnsi="Arial" w:cs="Arial"/>
          <w:b/>
        </w:rPr>
        <w:tab/>
        <w:t xml:space="preserve">Current Situation </w:t>
      </w:r>
    </w:p>
    <w:p w:rsidR="00B7746D" w:rsidRDefault="00B7746D" w:rsidP="007478CE">
      <w:pPr>
        <w:rPr>
          <w:rFonts w:ascii="Arial" w:hAnsi="Arial" w:cs="Arial"/>
          <w:b/>
        </w:rPr>
      </w:pPr>
    </w:p>
    <w:p w:rsidR="00B7746D" w:rsidRDefault="00B7746D" w:rsidP="007478CE">
      <w:pPr>
        <w:numPr>
          <w:ilvl w:val="0"/>
          <w:numId w:val="25"/>
        </w:numPr>
        <w:ind w:left="1080"/>
        <w:rPr>
          <w:rFonts w:ascii="Arial" w:hAnsi="Arial" w:cs="Arial"/>
        </w:rPr>
      </w:pPr>
      <w:r w:rsidRPr="000D774A">
        <w:rPr>
          <w:rFonts w:ascii="Arial" w:hAnsi="Arial" w:cs="Arial"/>
        </w:rPr>
        <w:t xml:space="preserve">Orthopaedic joint replacements exceeded </w:t>
      </w:r>
      <w:r>
        <w:rPr>
          <w:rFonts w:ascii="Arial" w:hAnsi="Arial" w:cs="Arial"/>
        </w:rPr>
        <w:t xml:space="preserve">the May target by </w:t>
      </w:r>
      <w:r w:rsidR="007478CE">
        <w:rPr>
          <w:rFonts w:ascii="Arial" w:hAnsi="Arial" w:cs="Arial"/>
        </w:rPr>
        <w:t>six</w:t>
      </w:r>
      <w:r>
        <w:rPr>
          <w:rFonts w:ascii="Arial" w:hAnsi="Arial" w:cs="Arial"/>
        </w:rPr>
        <w:t xml:space="preserve"> procedures and foot and ankle activity exceeded the May target by 13 procedures, however the </w:t>
      </w:r>
      <w:r w:rsidR="007478CE">
        <w:rPr>
          <w:rFonts w:ascii="Arial" w:hAnsi="Arial" w:cs="Arial"/>
        </w:rPr>
        <w:t>Orthopaedic</w:t>
      </w:r>
      <w:r>
        <w:rPr>
          <w:rFonts w:ascii="Arial" w:hAnsi="Arial" w:cs="Arial"/>
        </w:rPr>
        <w:t xml:space="preserve"> Minor activity was behind for month.  Overall, the service utilised 482 orthopaedic theatre slots against a plan of 483.</w:t>
      </w:r>
    </w:p>
    <w:p w:rsidR="00B7746D" w:rsidRDefault="00B7746D" w:rsidP="007478CE">
      <w:pPr>
        <w:ind w:left="360"/>
        <w:rPr>
          <w:rFonts w:ascii="Arial" w:hAnsi="Arial" w:cs="Arial"/>
        </w:rPr>
      </w:pPr>
    </w:p>
    <w:p w:rsidR="00B7746D" w:rsidRPr="00B03E0A" w:rsidRDefault="00B7746D" w:rsidP="007478CE">
      <w:pPr>
        <w:pStyle w:val="ListParagraph"/>
        <w:numPr>
          <w:ilvl w:val="0"/>
          <w:numId w:val="25"/>
        </w:numPr>
        <w:ind w:left="1080"/>
        <w:rPr>
          <w:rFonts w:ascii="Arial" w:hAnsi="Arial" w:cs="Arial"/>
        </w:rPr>
      </w:pPr>
      <w:r>
        <w:rPr>
          <w:rFonts w:ascii="Arial" w:hAnsi="Arial" w:cs="Arial"/>
        </w:rPr>
        <w:t>The increased Ophthalmology activity of 8,250 procedures in 2019/20 is</w:t>
      </w:r>
      <w:r w:rsidR="007478CE">
        <w:rPr>
          <w:rFonts w:ascii="Arial" w:hAnsi="Arial" w:cs="Arial"/>
        </w:rPr>
        <w:t xml:space="preserve"> an extremely challenging target. </w:t>
      </w:r>
      <w:r>
        <w:rPr>
          <w:rFonts w:ascii="Arial" w:hAnsi="Arial" w:cs="Arial"/>
        </w:rPr>
        <w:t>However, the Division remains focussed on the delivery of this activity and continue to explore every oppo</w:t>
      </w:r>
      <w:r w:rsidR="007478CE">
        <w:rPr>
          <w:rFonts w:ascii="Arial" w:hAnsi="Arial" w:cs="Arial"/>
        </w:rPr>
        <w:t xml:space="preserve">rtunity to improve throughput. </w:t>
      </w:r>
      <w:r>
        <w:rPr>
          <w:rFonts w:ascii="Arial" w:hAnsi="Arial" w:cs="Arial"/>
        </w:rPr>
        <w:t xml:space="preserve">Consequently, cancellation and </w:t>
      </w:r>
      <w:r w:rsidR="007478CE">
        <w:rPr>
          <w:rFonts w:ascii="Arial" w:hAnsi="Arial" w:cs="Arial"/>
        </w:rPr>
        <w:t xml:space="preserve">Did Not Attend </w:t>
      </w:r>
      <w:r>
        <w:rPr>
          <w:rFonts w:ascii="Arial" w:hAnsi="Arial" w:cs="Arial"/>
        </w:rPr>
        <w:t xml:space="preserve">rates continue to </w:t>
      </w:r>
      <w:r w:rsidR="007478CE">
        <w:rPr>
          <w:rFonts w:ascii="Arial" w:hAnsi="Arial" w:cs="Arial"/>
        </w:rPr>
        <w:t>be a key focus for the service.</w:t>
      </w:r>
      <w:r>
        <w:rPr>
          <w:rFonts w:ascii="Arial" w:hAnsi="Arial" w:cs="Arial"/>
        </w:rPr>
        <w:t xml:space="preserve"> The latest figures demonstrate that ca</w:t>
      </w:r>
      <w:r w:rsidR="007478CE">
        <w:rPr>
          <w:rFonts w:ascii="Arial" w:hAnsi="Arial" w:cs="Arial"/>
        </w:rPr>
        <w:t xml:space="preserve">ncellations remain under 2.8%. </w:t>
      </w:r>
      <w:r>
        <w:rPr>
          <w:rFonts w:ascii="Arial" w:hAnsi="Arial" w:cs="Arial"/>
        </w:rPr>
        <w:t>The shortfall in May can therefore be entirely attributed to the availability of consult</w:t>
      </w:r>
      <w:r w:rsidR="007478CE">
        <w:rPr>
          <w:rFonts w:ascii="Arial" w:hAnsi="Arial" w:cs="Arial"/>
        </w:rPr>
        <w:t>ants to cover theatre sessions.</w:t>
      </w:r>
      <w:r>
        <w:rPr>
          <w:rFonts w:ascii="Arial" w:hAnsi="Arial" w:cs="Arial"/>
        </w:rPr>
        <w:t xml:space="preserve">  It is anticipated that the imminent interviews for additional Ophthalmic Surgeons will increase the pool of surgeons and support the recovery of the current shortfall in activity.</w:t>
      </w:r>
    </w:p>
    <w:p w:rsidR="00B7746D" w:rsidRPr="000D774A" w:rsidRDefault="00B7746D" w:rsidP="007478CE">
      <w:pPr>
        <w:ind w:left="1080"/>
        <w:rPr>
          <w:rFonts w:ascii="Arial" w:hAnsi="Arial" w:cs="Arial"/>
        </w:rPr>
      </w:pPr>
    </w:p>
    <w:p w:rsidR="00B7746D" w:rsidRPr="0033456F" w:rsidRDefault="00B7746D" w:rsidP="007478CE">
      <w:pPr>
        <w:pStyle w:val="ListParagraph"/>
        <w:numPr>
          <w:ilvl w:val="0"/>
          <w:numId w:val="25"/>
        </w:numPr>
        <w:ind w:left="1080"/>
        <w:rPr>
          <w:rFonts w:ascii="Arial" w:hAnsi="Arial" w:cs="Arial"/>
        </w:rPr>
      </w:pPr>
      <w:r w:rsidRPr="0033456F">
        <w:rPr>
          <w:rFonts w:ascii="Arial" w:hAnsi="Arial" w:cs="Arial"/>
        </w:rPr>
        <w:t xml:space="preserve">Endoscopy is delivered entirely by visiting consultants and therefore </w:t>
      </w:r>
      <w:r>
        <w:rPr>
          <w:rFonts w:ascii="Arial" w:hAnsi="Arial" w:cs="Arial"/>
        </w:rPr>
        <w:t xml:space="preserve">the availability of consultants </w:t>
      </w:r>
      <w:r w:rsidR="007478CE">
        <w:rPr>
          <w:rFonts w:ascii="Arial" w:hAnsi="Arial" w:cs="Arial"/>
        </w:rPr>
        <w:t xml:space="preserve">presents ongoing challenges. </w:t>
      </w:r>
      <w:r>
        <w:rPr>
          <w:rFonts w:ascii="Arial" w:hAnsi="Arial" w:cs="Arial"/>
        </w:rPr>
        <w:t xml:space="preserve">Additional consultants have been recruited to </w:t>
      </w:r>
      <w:r w:rsidR="007478CE">
        <w:rPr>
          <w:rFonts w:ascii="Arial" w:hAnsi="Arial" w:cs="Arial"/>
        </w:rPr>
        <w:t xml:space="preserve">the </w:t>
      </w:r>
      <w:r>
        <w:rPr>
          <w:rFonts w:ascii="Arial" w:hAnsi="Arial" w:cs="Arial"/>
        </w:rPr>
        <w:t xml:space="preserve">service </w:t>
      </w:r>
      <w:r w:rsidRPr="0033456F">
        <w:rPr>
          <w:rFonts w:ascii="Arial" w:hAnsi="Arial" w:cs="Arial"/>
        </w:rPr>
        <w:t>to increase the likelihood of cover for Endoscopy sessions</w:t>
      </w:r>
      <w:r>
        <w:rPr>
          <w:rFonts w:ascii="Arial" w:hAnsi="Arial" w:cs="Arial"/>
        </w:rPr>
        <w:t>,</w:t>
      </w:r>
      <w:r w:rsidRPr="0033456F">
        <w:rPr>
          <w:rFonts w:ascii="Arial" w:hAnsi="Arial" w:cs="Arial"/>
        </w:rPr>
        <w:t xml:space="preserve"> support an increase in activity and work towards recovering any shortfall by the year end.</w:t>
      </w:r>
      <w:r>
        <w:rPr>
          <w:rFonts w:ascii="Arial" w:hAnsi="Arial" w:cs="Arial"/>
        </w:rPr>
        <w:t xml:space="preserve">  However, the impact of the additional consultants has not yet been realised.</w:t>
      </w:r>
    </w:p>
    <w:p w:rsidR="00B7746D" w:rsidRDefault="00B7746D" w:rsidP="007478CE">
      <w:pPr>
        <w:tabs>
          <w:tab w:val="left" w:pos="709"/>
        </w:tabs>
        <w:ind w:left="1080" w:firstLine="135"/>
        <w:rPr>
          <w:rFonts w:ascii="Arial" w:hAnsi="Arial" w:cs="Arial"/>
        </w:rPr>
      </w:pPr>
    </w:p>
    <w:p w:rsidR="00B7746D" w:rsidRPr="00241892" w:rsidRDefault="00B7746D" w:rsidP="007478CE">
      <w:pPr>
        <w:pStyle w:val="ListParagraph"/>
        <w:numPr>
          <w:ilvl w:val="0"/>
          <w:numId w:val="25"/>
        </w:numPr>
        <w:ind w:left="1080" w:right="-360"/>
        <w:rPr>
          <w:rFonts w:ascii="Arial" w:hAnsi="Arial" w:cs="Arial"/>
          <w:b/>
        </w:rPr>
      </w:pPr>
      <w:r w:rsidRPr="0033456F">
        <w:rPr>
          <w:rFonts w:ascii="Arial" w:hAnsi="Arial" w:cs="Arial"/>
        </w:rPr>
        <w:lastRenderedPageBreak/>
        <w:t xml:space="preserve">Diagnostic </w:t>
      </w:r>
      <w:r w:rsidR="007478CE">
        <w:rPr>
          <w:rFonts w:ascii="Arial" w:hAnsi="Arial" w:cs="Arial"/>
        </w:rPr>
        <w:t>I</w:t>
      </w:r>
      <w:r w:rsidRPr="0033456F">
        <w:rPr>
          <w:rFonts w:ascii="Arial" w:hAnsi="Arial" w:cs="Arial"/>
        </w:rPr>
        <w:t xml:space="preserve">maging performed </w:t>
      </w:r>
      <w:r>
        <w:rPr>
          <w:rFonts w:ascii="Arial" w:hAnsi="Arial" w:cs="Arial"/>
        </w:rPr>
        <w:t>behind the monthly plan 200</w:t>
      </w:r>
      <w:r w:rsidRPr="0033456F">
        <w:rPr>
          <w:rFonts w:ascii="Arial" w:hAnsi="Arial" w:cs="Arial"/>
        </w:rPr>
        <w:t xml:space="preserve"> </w:t>
      </w:r>
      <w:r>
        <w:rPr>
          <w:rFonts w:ascii="Arial" w:hAnsi="Arial" w:cs="Arial"/>
        </w:rPr>
        <w:t>examinations in the month of May.  Again this can be attributed to the availability of co</w:t>
      </w:r>
      <w:r w:rsidR="007478CE">
        <w:rPr>
          <w:rFonts w:ascii="Arial" w:hAnsi="Arial" w:cs="Arial"/>
        </w:rPr>
        <w:t xml:space="preserve">nsultants to read examination. </w:t>
      </w:r>
      <w:r>
        <w:rPr>
          <w:rFonts w:ascii="Arial" w:hAnsi="Arial" w:cs="Arial"/>
        </w:rPr>
        <w:t xml:space="preserve">The Division </w:t>
      </w:r>
      <w:r w:rsidR="007478CE">
        <w:rPr>
          <w:rFonts w:ascii="Arial" w:hAnsi="Arial" w:cs="Arial"/>
        </w:rPr>
        <w:t xml:space="preserve">is currently working on </w:t>
      </w:r>
      <w:r>
        <w:rPr>
          <w:rFonts w:ascii="Arial" w:hAnsi="Arial" w:cs="Arial"/>
        </w:rPr>
        <w:t>alternative arrangements with the intention of recovering this shortfall.</w:t>
      </w:r>
    </w:p>
    <w:p w:rsidR="00241892" w:rsidRPr="00241892" w:rsidRDefault="00241892" w:rsidP="007478CE">
      <w:pPr>
        <w:pStyle w:val="ListParagraph"/>
        <w:ind w:left="1080"/>
        <w:rPr>
          <w:rFonts w:ascii="Arial" w:hAnsi="Arial" w:cs="Arial"/>
          <w:b/>
        </w:rPr>
      </w:pPr>
    </w:p>
    <w:p w:rsidR="00241892" w:rsidRPr="0033456F" w:rsidRDefault="00241892" w:rsidP="007478CE">
      <w:pPr>
        <w:pStyle w:val="ListParagraph"/>
        <w:ind w:right="-360"/>
        <w:rPr>
          <w:rFonts w:ascii="Arial" w:hAnsi="Arial" w:cs="Arial"/>
          <w:b/>
        </w:rPr>
      </w:pPr>
    </w:p>
    <w:p w:rsidR="0074139D" w:rsidRPr="00B830B4" w:rsidRDefault="0074139D" w:rsidP="007478CE">
      <w:pPr>
        <w:pStyle w:val="ListParagraph"/>
        <w:ind w:left="709" w:hanging="709"/>
        <w:rPr>
          <w:rFonts w:ascii="Arial" w:hAnsi="Arial" w:cs="Arial"/>
          <w:b/>
        </w:rPr>
      </w:pPr>
      <w:r w:rsidRPr="00B830B4">
        <w:rPr>
          <w:rFonts w:ascii="Arial" w:hAnsi="Arial" w:cs="Arial"/>
          <w:b/>
        </w:rPr>
        <w:t>5</w:t>
      </w:r>
      <w:r w:rsidRPr="00B830B4">
        <w:rPr>
          <w:rFonts w:ascii="Arial" w:hAnsi="Arial" w:cs="Arial"/>
          <w:b/>
        </w:rPr>
        <w:tab/>
        <w:t>Recommendation</w:t>
      </w:r>
    </w:p>
    <w:p w:rsidR="0074139D" w:rsidRDefault="0074139D" w:rsidP="007478CE">
      <w:pPr>
        <w:pStyle w:val="ListParagraph"/>
        <w:ind w:left="360"/>
        <w:rPr>
          <w:rFonts w:ascii="Arial" w:hAnsi="Arial" w:cs="Arial"/>
        </w:rPr>
      </w:pPr>
    </w:p>
    <w:p w:rsidR="0074139D" w:rsidRDefault="0074139D" w:rsidP="007478CE">
      <w:pPr>
        <w:pStyle w:val="ListParagraph"/>
        <w:ind w:left="360"/>
        <w:rPr>
          <w:rFonts w:ascii="Arial" w:hAnsi="Arial" w:cs="Arial"/>
        </w:rPr>
      </w:pPr>
      <w:r>
        <w:rPr>
          <w:rFonts w:ascii="Arial" w:hAnsi="Arial" w:cs="Arial"/>
        </w:rPr>
        <w:tab/>
        <w:t>Board Members are asked to note the report.</w:t>
      </w:r>
    </w:p>
    <w:p w:rsidR="0074139D" w:rsidRDefault="0074139D" w:rsidP="007478CE">
      <w:pPr>
        <w:pStyle w:val="BodyTextIndent3"/>
        <w:spacing w:after="0"/>
        <w:ind w:left="0"/>
        <w:rPr>
          <w:rFonts w:ascii="Arial" w:hAnsi="Arial" w:cs="Arial"/>
          <w:b/>
          <w:sz w:val="24"/>
          <w:szCs w:val="24"/>
        </w:rPr>
      </w:pPr>
    </w:p>
    <w:p w:rsidR="0074139D" w:rsidRDefault="0074139D" w:rsidP="007478CE">
      <w:pPr>
        <w:ind w:right="183"/>
        <w:rPr>
          <w:rFonts w:ascii="Arial" w:hAnsi="Arial" w:cs="Arial"/>
          <w:b/>
          <w:bCs/>
        </w:rPr>
      </w:pPr>
    </w:p>
    <w:p w:rsidR="009E4BF5" w:rsidRDefault="009E4BF5" w:rsidP="007478CE">
      <w:pPr>
        <w:ind w:right="183"/>
        <w:rPr>
          <w:rFonts w:ascii="Arial" w:hAnsi="Arial" w:cs="Arial"/>
          <w:b/>
          <w:bCs/>
        </w:rPr>
      </w:pPr>
    </w:p>
    <w:p w:rsidR="00B0525B" w:rsidRDefault="0074139D" w:rsidP="007478CE">
      <w:pPr>
        <w:ind w:right="183"/>
        <w:rPr>
          <w:rFonts w:ascii="Arial" w:hAnsi="Arial" w:cs="Arial"/>
          <w:b/>
          <w:bCs/>
        </w:rPr>
      </w:pPr>
      <w:r>
        <w:rPr>
          <w:rFonts w:ascii="Arial" w:hAnsi="Arial" w:cs="Arial"/>
          <w:b/>
          <w:bCs/>
        </w:rPr>
        <w:t>June Rogers</w:t>
      </w:r>
      <w:r w:rsidR="00B0525B">
        <w:rPr>
          <w:rFonts w:ascii="Arial" w:hAnsi="Arial" w:cs="Arial"/>
          <w:b/>
          <w:bCs/>
        </w:rPr>
        <w:tab/>
      </w:r>
    </w:p>
    <w:p w:rsidR="00B0525B" w:rsidRDefault="0074139D" w:rsidP="007478CE">
      <w:pPr>
        <w:ind w:right="183"/>
        <w:rPr>
          <w:rFonts w:ascii="Arial" w:hAnsi="Arial" w:cs="Arial"/>
          <w:b/>
          <w:bCs/>
        </w:rPr>
      </w:pPr>
      <w:r>
        <w:rPr>
          <w:rFonts w:ascii="Arial" w:hAnsi="Arial" w:cs="Arial"/>
          <w:b/>
          <w:bCs/>
        </w:rPr>
        <w:t>Director of Operations</w:t>
      </w:r>
      <w:r w:rsidR="00B0525B">
        <w:rPr>
          <w:rFonts w:ascii="Arial" w:hAnsi="Arial" w:cs="Arial"/>
          <w:b/>
          <w:bCs/>
        </w:rPr>
        <w:tab/>
      </w:r>
    </w:p>
    <w:p w:rsidR="00B0525B" w:rsidRPr="00C92710" w:rsidRDefault="00B7746D" w:rsidP="007478CE">
      <w:pPr>
        <w:ind w:right="183"/>
        <w:rPr>
          <w:rFonts w:ascii="Arial" w:hAnsi="Arial" w:cs="Arial"/>
          <w:b/>
          <w:bCs/>
        </w:rPr>
      </w:pPr>
      <w:r>
        <w:rPr>
          <w:rFonts w:ascii="Arial" w:hAnsi="Arial" w:cs="Arial"/>
          <w:b/>
          <w:bCs/>
        </w:rPr>
        <w:t xml:space="preserve">July </w:t>
      </w:r>
      <w:r w:rsidR="0074139D">
        <w:rPr>
          <w:rFonts w:ascii="Arial" w:hAnsi="Arial" w:cs="Arial"/>
          <w:b/>
          <w:bCs/>
        </w:rPr>
        <w:t>2019</w:t>
      </w:r>
    </w:p>
    <w:p w:rsidR="00B0525B" w:rsidRDefault="00B0525B" w:rsidP="007478CE">
      <w:pPr>
        <w:ind w:right="183"/>
        <w:rPr>
          <w:rFonts w:ascii="Arial" w:hAnsi="Arial" w:cs="Arial"/>
          <w:b/>
          <w:bCs/>
        </w:rPr>
      </w:pPr>
    </w:p>
    <w:sectPr w:rsidR="00B0525B" w:rsidSect="00534FC0">
      <w:footerReference w:type="default" r:id="rId9"/>
      <w:headerReference w:type="first" r:id="rId10"/>
      <w:footerReference w:type="first" r:id="rId11"/>
      <w:pgSz w:w="11906" w:h="16838"/>
      <w:pgMar w:top="1440" w:right="1440" w:bottom="1440" w:left="1440" w:header="709"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F00" w:rsidRDefault="00413F00">
      <w:r>
        <w:separator/>
      </w:r>
    </w:p>
  </w:endnote>
  <w:endnote w:type="continuationSeparator" w:id="0">
    <w:p w:rsidR="00413F00" w:rsidRDefault="0041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4D628F" w:rsidRPr="00513DB0">
      <w:rPr>
        <w:rStyle w:val="PageNumber"/>
        <w:rFonts w:ascii="Arial" w:hAnsi="Arial" w:cs="Arial"/>
      </w:rPr>
      <w:fldChar w:fldCharType="begin"/>
    </w:r>
    <w:r w:rsidRPr="00513DB0">
      <w:rPr>
        <w:rStyle w:val="PageNumber"/>
        <w:rFonts w:ascii="Arial" w:hAnsi="Arial" w:cs="Arial"/>
      </w:rPr>
      <w:instrText xml:space="preserve"> PAGE </w:instrText>
    </w:r>
    <w:r w:rsidR="004D628F" w:rsidRPr="00513DB0">
      <w:rPr>
        <w:rStyle w:val="PageNumber"/>
        <w:rFonts w:ascii="Arial" w:hAnsi="Arial" w:cs="Arial"/>
      </w:rPr>
      <w:fldChar w:fldCharType="separate"/>
    </w:r>
    <w:r w:rsidR="00D16B80">
      <w:rPr>
        <w:rStyle w:val="PageNumber"/>
        <w:rFonts w:ascii="Arial" w:hAnsi="Arial" w:cs="Arial"/>
        <w:noProof/>
      </w:rPr>
      <w:t>2</w:t>
    </w:r>
    <w:r w:rsidR="004D628F"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4D628F" w:rsidRPr="00513DB0">
      <w:rPr>
        <w:rStyle w:val="PageNumber"/>
        <w:rFonts w:ascii="Arial" w:hAnsi="Arial" w:cs="Arial"/>
      </w:rPr>
      <w:fldChar w:fldCharType="begin"/>
    </w:r>
    <w:r w:rsidRPr="00513DB0">
      <w:rPr>
        <w:rStyle w:val="PageNumber"/>
        <w:rFonts w:ascii="Arial" w:hAnsi="Arial" w:cs="Arial"/>
      </w:rPr>
      <w:instrText xml:space="preserve"> PAGE </w:instrText>
    </w:r>
    <w:r w:rsidR="004D628F" w:rsidRPr="00513DB0">
      <w:rPr>
        <w:rStyle w:val="PageNumber"/>
        <w:rFonts w:ascii="Arial" w:hAnsi="Arial" w:cs="Arial"/>
      </w:rPr>
      <w:fldChar w:fldCharType="separate"/>
    </w:r>
    <w:r w:rsidR="00D16B80">
      <w:rPr>
        <w:rStyle w:val="PageNumber"/>
        <w:rFonts w:ascii="Arial" w:hAnsi="Arial" w:cs="Arial"/>
        <w:noProof/>
      </w:rPr>
      <w:t>1</w:t>
    </w:r>
    <w:r w:rsidR="004D628F" w:rsidRPr="00513DB0">
      <w:rPr>
        <w:rStyle w:val="PageNumber"/>
        <w:rFonts w:ascii="Arial" w:hAnsi="Arial" w:cs="Arial"/>
      </w:rPr>
      <w:fldChar w:fldCharType="end"/>
    </w:r>
  </w:p>
  <w:p w:rsidR="002253CC" w:rsidRDefault="00F459C0"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2253CC" w:rsidRPr="008F5DB5" w:rsidRDefault="002253CC"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p w:rsidR="002253CC" w:rsidRPr="005B69F4" w:rsidRDefault="002253CC"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F00" w:rsidRDefault="00413F00">
      <w:r>
        <w:separator/>
      </w:r>
    </w:p>
  </w:footnote>
  <w:footnote w:type="continuationSeparator" w:id="0">
    <w:p w:rsidR="00413F00" w:rsidRDefault="00413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CF6461" w:rsidRDefault="002253CC" w:rsidP="00CF6461">
    <w:pPr>
      <w:pStyle w:val="Header"/>
      <w:jc w:val="right"/>
      <w:rPr>
        <w:rFonts w:ascii="Arial" w:hAnsi="Arial" w:cs="Arial"/>
        <w:b/>
        <w:color w:val="0070C0"/>
        <w:sz w:val="28"/>
        <w:szCs w:val="28"/>
      </w:rPr>
    </w:pPr>
    <w:r>
      <w:rPr>
        <w:rFonts w:ascii="Arial" w:hAnsi="Arial" w:cs="Arial"/>
        <w:b/>
        <w:color w:val="0070C0"/>
        <w:sz w:val="28"/>
        <w:szCs w:val="28"/>
      </w:rPr>
      <w:t>I</w:t>
    </w:r>
    <w:r w:rsidR="00241892">
      <w:rPr>
        <w:rFonts w:ascii="Arial" w:hAnsi="Arial" w:cs="Arial"/>
        <w:b/>
        <w:color w:val="0070C0"/>
        <w:sz w:val="28"/>
        <w:szCs w:val="28"/>
      </w:rPr>
      <w:t>tem 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D232B94"/>
    <w:multiLevelType w:val="hybridMultilevel"/>
    <w:tmpl w:val="EA66DD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B53C6"/>
    <w:multiLevelType w:val="hybridMultilevel"/>
    <w:tmpl w:val="1D64E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C4603"/>
    <w:multiLevelType w:val="hybridMultilevel"/>
    <w:tmpl w:val="4CA486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81DD6"/>
    <w:multiLevelType w:val="hybridMultilevel"/>
    <w:tmpl w:val="28FC9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1230A1"/>
    <w:multiLevelType w:val="hybridMultilevel"/>
    <w:tmpl w:val="A27E3C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6"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9EB7593"/>
    <w:multiLevelType w:val="hybridMultilevel"/>
    <w:tmpl w:val="0846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4035F"/>
    <w:multiLevelType w:val="hybridMultilevel"/>
    <w:tmpl w:val="20B41944"/>
    <w:lvl w:ilvl="0" w:tplc="D5C207B0">
      <w:start w:val="1"/>
      <w:numFmt w:val="decimal"/>
      <w:lvlText w:val="%1"/>
      <w:lvlJc w:val="left"/>
      <w:pPr>
        <w:tabs>
          <w:tab w:val="num" w:pos="1080"/>
        </w:tabs>
        <w:ind w:left="1080" w:hanging="720"/>
      </w:pPr>
      <w:rPr>
        <w:rFonts w:hint="default"/>
      </w:rPr>
    </w:lvl>
    <w:lvl w:ilvl="1" w:tplc="7EB44FFC">
      <w:start w:val="1"/>
      <w:numFmt w:val="bullet"/>
      <w:lvlText w:val=""/>
      <w:lvlJc w:val="left"/>
      <w:pPr>
        <w:tabs>
          <w:tab w:val="num" w:pos="796"/>
        </w:tabs>
        <w:ind w:left="1080" w:firstLine="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18"/>
  </w:num>
  <w:num w:numId="4">
    <w:abstractNumId w:val="1"/>
  </w:num>
  <w:num w:numId="5">
    <w:abstractNumId w:val="4"/>
  </w:num>
  <w:num w:numId="6">
    <w:abstractNumId w:val="15"/>
  </w:num>
  <w:num w:numId="7">
    <w:abstractNumId w:val="23"/>
  </w:num>
  <w:num w:numId="8">
    <w:abstractNumId w:val="0"/>
  </w:num>
  <w:num w:numId="9">
    <w:abstractNumId w:val="22"/>
  </w:num>
  <w:num w:numId="10">
    <w:abstractNumId w:val="13"/>
  </w:num>
  <w:num w:numId="11">
    <w:abstractNumId w:val="11"/>
  </w:num>
  <w:num w:numId="12">
    <w:abstractNumId w:val="19"/>
  </w:num>
  <w:num w:numId="13">
    <w:abstractNumId w:val="6"/>
  </w:num>
  <w:num w:numId="14">
    <w:abstractNumId w:val="5"/>
  </w:num>
  <w:num w:numId="15">
    <w:abstractNumId w:val="14"/>
  </w:num>
  <w:num w:numId="16">
    <w:abstractNumId w:val="10"/>
  </w:num>
  <w:num w:numId="17">
    <w:abstractNumId w:val="16"/>
  </w:num>
  <w:num w:numId="18">
    <w:abstractNumId w:val="2"/>
  </w:num>
  <w:num w:numId="19">
    <w:abstractNumId w:val="20"/>
  </w:num>
  <w:num w:numId="20">
    <w:abstractNumId w:val="9"/>
  </w:num>
  <w:num w:numId="21">
    <w:abstractNumId w:val="3"/>
  </w:num>
  <w:num w:numId="22">
    <w:abstractNumId w:val="17"/>
  </w:num>
  <w:num w:numId="23">
    <w:abstractNumId w:val="12"/>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2577B"/>
    <w:rsid w:val="0001183B"/>
    <w:rsid w:val="0002036A"/>
    <w:rsid w:val="00061CDE"/>
    <w:rsid w:val="00075AAA"/>
    <w:rsid w:val="00097EAE"/>
    <w:rsid w:val="000B46D3"/>
    <w:rsid w:val="000B5923"/>
    <w:rsid w:val="000D0646"/>
    <w:rsid w:val="000D0952"/>
    <w:rsid w:val="000E41C1"/>
    <w:rsid w:val="00115F97"/>
    <w:rsid w:val="001175E5"/>
    <w:rsid w:val="002253CC"/>
    <w:rsid w:val="00237CBD"/>
    <w:rsid w:val="00241892"/>
    <w:rsid w:val="002A42DD"/>
    <w:rsid w:val="0031078B"/>
    <w:rsid w:val="003D03FE"/>
    <w:rsid w:val="003E423D"/>
    <w:rsid w:val="003F19CA"/>
    <w:rsid w:val="00407821"/>
    <w:rsid w:val="00413F00"/>
    <w:rsid w:val="004512CE"/>
    <w:rsid w:val="004D628F"/>
    <w:rsid w:val="00513AB1"/>
    <w:rsid w:val="00513DB0"/>
    <w:rsid w:val="005239DB"/>
    <w:rsid w:val="00526532"/>
    <w:rsid w:val="00534FC0"/>
    <w:rsid w:val="005B4BA8"/>
    <w:rsid w:val="005B69F4"/>
    <w:rsid w:val="005F02B7"/>
    <w:rsid w:val="0060634D"/>
    <w:rsid w:val="00621889"/>
    <w:rsid w:val="006500AB"/>
    <w:rsid w:val="00661EF1"/>
    <w:rsid w:val="006734E4"/>
    <w:rsid w:val="006A1357"/>
    <w:rsid w:val="006D6F99"/>
    <w:rsid w:val="00711E7A"/>
    <w:rsid w:val="00736599"/>
    <w:rsid w:val="0074139D"/>
    <w:rsid w:val="007478CE"/>
    <w:rsid w:val="007B4090"/>
    <w:rsid w:val="00812CBD"/>
    <w:rsid w:val="00815350"/>
    <w:rsid w:val="00825B2D"/>
    <w:rsid w:val="00844E0E"/>
    <w:rsid w:val="008A07AE"/>
    <w:rsid w:val="008B23D9"/>
    <w:rsid w:val="008C26A2"/>
    <w:rsid w:val="008F1C02"/>
    <w:rsid w:val="0093700B"/>
    <w:rsid w:val="00937BE5"/>
    <w:rsid w:val="009742FA"/>
    <w:rsid w:val="00974594"/>
    <w:rsid w:val="00993155"/>
    <w:rsid w:val="009E4BF5"/>
    <w:rsid w:val="009E6A39"/>
    <w:rsid w:val="009E7D01"/>
    <w:rsid w:val="00A2536A"/>
    <w:rsid w:val="00A2577B"/>
    <w:rsid w:val="00A3124D"/>
    <w:rsid w:val="00A560AF"/>
    <w:rsid w:val="00B0525B"/>
    <w:rsid w:val="00B51918"/>
    <w:rsid w:val="00B5719A"/>
    <w:rsid w:val="00B7746D"/>
    <w:rsid w:val="00BC668C"/>
    <w:rsid w:val="00BF3405"/>
    <w:rsid w:val="00C0017D"/>
    <w:rsid w:val="00C24B4E"/>
    <w:rsid w:val="00C3138D"/>
    <w:rsid w:val="00C36974"/>
    <w:rsid w:val="00C956E2"/>
    <w:rsid w:val="00CA6DDF"/>
    <w:rsid w:val="00CE4B72"/>
    <w:rsid w:val="00CF6461"/>
    <w:rsid w:val="00D05F2C"/>
    <w:rsid w:val="00D16B80"/>
    <w:rsid w:val="00D306B6"/>
    <w:rsid w:val="00D92AA6"/>
    <w:rsid w:val="00DD7115"/>
    <w:rsid w:val="00DE5902"/>
    <w:rsid w:val="00E24BFC"/>
    <w:rsid w:val="00E95856"/>
    <w:rsid w:val="00EA4869"/>
    <w:rsid w:val="00EB7C07"/>
    <w:rsid w:val="00F12826"/>
    <w:rsid w:val="00F3515F"/>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E5F598D-3908-457A-B660-C10D26DA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ing3Char">
    <w:name w:val="Heading 3 Char"/>
    <w:basedOn w:val="DefaultParagraphFont"/>
    <w:link w:val="Heading3"/>
    <w:rsid w:val="00237CBD"/>
    <w:rPr>
      <w:rFonts w:ascii="Arial" w:hAnsi="Arial" w:cs="Arial"/>
      <w:b/>
      <w:bCs/>
      <w:sz w:val="26"/>
      <w:szCs w:val="26"/>
      <w:lang w:eastAsia="en-US"/>
    </w:rPr>
  </w:style>
  <w:style w:type="character" w:customStyle="1" w:styleId="FooterChar">
    <w:name w:val="Footer Char"/>
    <w:basedOn w:val="DefaultParagraphFont"/>
    <w:link w:val="Footer"/>
    <w:rsid w:val="00237CB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6C036-7E9B-45EB-8EFA-794E8CC0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Christine McGuinness</cp:lastModifiedBy>
  <cp:revision>7</cp:revision>
  <dcterms:created xsi:type="dcterms:W3CDTF">2019-07-24T10:58:00Z</dcterms:created>
  <dcterms:modified xsi:type="dcterms:W3CDTF">2019-07-25T11:39:00Z</dcterms:modified>
</cp:coreProperties>
</file>