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17DC" w:rsidRPr="001175E5" w:rsidRDefault="000B17DC" w:rsidP="000B17DC">
      <w:pPr>
        <w:pStyle w:val="Heading1"/>
        <w:rPr>
          <w:rFonts w:ascii="Arial" w:hAnsi="Arial" w:cs="Arial"/>
          <w:b w:val="0"/>
          <w:sz w:val="24"/>
          <w:szCs w:val="24"/>
        </w:rPr>
      </w:pPr>
    </w:p>
    <w:p w:rsidR="000B17DC" w:rsidRPr="001175E5" w:rsidRDefault="000B17DC" w:rsidP="000B17DC">
      <w:pPr>
        <w:pStyle w:val="Heading1"/>
        <w:rPr>
          <w:rFonts w:ascii="Arial" w:hAnsi="Arial" w:cs="Arial"/>
          <w:b w:val="0"/>
          <w:sz w:val="24"/>
          <w:szCs w:val="24"/>
        </w:rPr>
      </w:pPr>
      <w:r w:rsidRPr="001175E5">
        <w:rPr>
          <w:rFonts w:ascii="Arial" w:hAnsi="Arial" w:cs="Arial"/>
          <w:sz w:val="24"/>
          <w:szCs w:val="24"/>
        </w:rPr>
        <w:t>Board meeting</w:t>
      </w:r>
      <w:r w:rsidRPr="001175E5">
        <w:rPr>
          <w:rFonts w:ascii="Arial" w:hAnsi="Arial" w:cs="Arial"/>
          <w:b w:val="0"/>
          <w:sz w:val="24"/>
          <w:szCs w:val="24"/>
        </w:rPr>
        <w:t>:</w:t>
      </w:r>
      <w:r w:rsidRPr="001175E5">
        <w:rPr>
          <w:rFonts w:ascii="Arial" w:hAnsi="Arial" w:cs="Arial"/>
          <w:b w:val="0"/>
          <w:sz w:val="24"/>
          <w:szCs w:val="24"/>
        </w:rPr>
        <w:tab/>
      </w:r>
      <w:r w:rsidR="00C8687A">
        <w:rPr>
          <w:rFonts w:ascii="Arial" w:hAnsi="Arial" w:cs="Arial"/>
          <w:b w:val="0"/>
          <w:sz w:val="24"/>
          <w:szCs w:val="24"/>
        </w:rPr>
        <w:t xml:space="preserve"> </w:t>
      </w:r>
      <w:r w:rsidR="00C8687A">
        <w:rPr>
          <w:rFonts w:ascii="Arial" w:hAnsi="Arial" w:cs="Arial"/>
          <w:b w:val="0"/>
          <w:sz w:val="24"/>
          <w:szCs w:val="24"/>
        </w:rPr>
        <w:tab/>
        <w:t>21</w:t>
      </w:r>
      <w:r w:rsidR="00C8687A" w:rsidRPr="00C8687A">
        <w:rPr>
          <w:rFonts w:ascii="Arial" w:hAnsi="Arial" w:cs="Arial"/>
          <w:b w:val="0"/>
          <w:sz w:val="24"/>
          <w:szCs w:val="24"/>
          <w:vertAlign w:val="superscript"/>
        </w:rPr>
        <w:t>st</w:t>
      </w:r>
      <w:r w:rsidR="00C8687A">
        <w:rPr>
          <w:rFonts w:ascii="Arial" w:hAnsi="Arial" w:cs="Arial"/>
          <w:b w:val="0"/>
          <w:sz w:val="24"/>
          <w:szCs w:val="24"/>
        </w:rPr>
        <w:t xml:space="preserve"> Nov</w:t>
      </w:r>
      <w:r>
        <w:rPr>
          <w:rFonts w:ascii="Arial" w:hAnsi="Arial" w:cs="Arial"/>
          <w:b w:val="0"/>
          <w:sz w:val="24"/>
          <w:szCs w:val="24"/>
        </w:rPr>
        <w:t>ember 2019</w:t>
      </w:r>
      <w:bookmarkStart w:id="0" w:name="_GoBack"/>
      <w:bookmarkEnd w:id="0"/>
    </w:p>
    <w:p w:rsidR="000B17DC" w:rsidRPr="00682309" w:rsidRDefault="000B17DC" w:rsidP="000B17DC"/>
    <w:p w:rsidR="000B17DC" w:rsidRPr="00682309" w:rsidRDefault="000B17DC" w:rsidP="000B17DC">
      <w:pPr>
        <w:ind w:left="2160" w:hanging="2160"/>
      </w:pPr>
      <w:r w:rsidRPr="00682309">
        <w:rPr>
          <w:b/>
          <w:bCs/>
        </w:rPr>
        <w:t xml:space="preserve">Subject: </w:t>
      </w:r>
      <w:r w:rsidRPr="00682309">
        <w:rPr>
          <w:b/>
          <w:bCs/>
        </w:rPr>
        <w:tab/>
      </w:r>
      <w:r w:rsidRPr="00682309">
        <w:rPr>
          <w:b/>
          <w:bCs/>
        </w:rPr>
        <w:tab/>
      </w:r>
      <w:r>
        <w:rPr>
          <w:bCs/>
        </w:rPr>
        <w:t xml:space="preserve">Person Centred </w:t>
      </w:r>
      <w:r w:rsidRPr="00C10870">
        <w:rPr>
          <w:bCs/>
        </w:rPr>
        <w:t>C</w:t>
      </w:r>
      <w:r w:rsidRPr="006F07FE">
        <w:rPr>
          <w:bCs/>
        </w:rPr>
        <w:t>ommittee update</w:t>
      </w:r>
    </w:p>
    <w:p w:rsidR="000B17DC" w:rsidRPr="00682309" w:rsidRDefault="000B17DC" w:rsidP="000B17DC">
      <w:pPr>
        <w:rPr>
          <w:b/>
          <w:bCs/>
        </w:rPr>
      </w:pPr>
      <w:r w:rsidRPr="00682309">
        <w:rPr>
          <w:b/>
          <w:bCs/>
        </w:rPr>
        <w:tab/>
      </w:r>
    </w:p>
    <w:p w:rsidR="000B17DC" w:rsidRDefault="000B17DC" w:rsidP="000B17DC">
      <w:pPr>
        <w:ind w:left="2880" w:right="-514" w:hanging="2880"/>
      </w:pPr>
      <w:r w:rsidRPr="00682309">
        <w:rPr>
          <w:b/>
          <w:bCs/>
        </w:rPr>
        <w:t>Recommendation:</w:t>
      </w:r>
      <w:r w:rsidRPr="00682309">
        <w:rPr>
          <w:b/>
          <w:bCs/>
        </w:rPr>
        <w:tab/>
      </w:r>
      <w:r w:rsidRPr="00C92710">
        <w:t>Board members are asked to note</w:t>
      </w:r>
      <w:r>
        <w:t xml:space="preserve"> the discussions at   the Person C</w:t>
      </w:r>
      <w:r w:rsidR="00C8687A">
        <w:t>entred Committee (PCC) held on 7</w:t>
      </w:r>
      <w:r w:rsidRPr="00784D90">
        <w:rPr>
          <w:vertAlign w:val="superscript"/>
        </w:rPr>
        <w:t>th</w:t>
      </w:r>
      <w:r w:rsidR="00C8687A">
        <w:t xml:space="preserve"> Nov</w:t>
      </w:r>
      <w:r>
        <w:t>ember 2019</w:t>
      </w:r>
    </w:p>
    <w:p w:rsidR="000B17DC" w:rsidRDefault="000B17DC" w:rsidP="000B17DC">
      <w:pPr>
        <w:ind w:left="2880" w:right="-514" w:hanging="2880"/>
      </w:pPr>
    </w:p>
    <w:p w:rsidR="000B17DC" w:rsidRPr="00D8698E" w:rsidRDefault="00470A5C" w:rsidP="000B17DC">
      <w:pPr>
        <w:rPr>
          <w:b/>
          <w:bCs/>
        </w:rPr>
      </w:pPr>
      <w:r>
        <w:rPr>
          <w:noProof/>
          <w:lang w:val="en-US"/>
        </w:rPr>
        <w:pict>
          <v:line id="_x0000_s1026" style="position:absolute;z-index:251659264" from="0,8.1pt" to="414pt,8.1pt" strokeweight="1.5pt"/>
        </w:pict>
      </w:r>
    </w:p>
    <w:p w:rsidR="000B17DC" w:rsidRPr="00F856B1" w:rsidRDefault="000B17DC" w:rsidP="000B17DC">
      <w:pPr>
        <w:tabs>
          <w:tab w:val="left" w:pos="7938"/>
        </w:tabs>
        <w:rPr>
          <w:b/>
          <w:bCs/>
          <w:lang w:val="en-US"/>
        </w:rPr>
      </w:pPr>
      <w:r w:rsidRPr="00F856B1">
        <w:rPr>
          <w:b/>
          <w:bCs/>
          <w:lang w:val="en-US"/>
        </w:rPr>
        <w:tab/>
      </w:r>
    </w:p>
    <w:p w:rsidR="000B17DC" w:rsidRDefault="00470A5C" w:rsidP="000B17DC">
      <w:r>
        <w:rPr>
          <w:noProof/>
          <w:lang w:eastAsia="en-GB"/>
        </w:rPr>
        <w:pict>
          <v:shapetype id="_x0000_t202" coordsize="21600,21600" o:spt="202" path="m,l,21600r21600,l21600,xe">
            <v:stroke joinstyle="miter"/>
            <v:path gradientshapeok="t" o:connecttype="rect"/>
          </v:shapetype>
          <v:shape id="Text Box 2" o:spid="_x0000_s1027" type="#_x0000_t202" style="position:absolute;margin-left:401pt;margin-top:-202.35pt;width:73.25pt;height:29.15pt;z-index:251660288;visibility:visible;mso-wrap-distance-top:3.6pt;mso-wrap-distance-bottom:3.6pt;mso-width-relative:margin;mso-height-relative:margin" stroked="f">
            <v:textbox>
              <w:txbxContent>
                <w:p w:rsidR="00470A5C" w:rsidRPr="00280351" w:rsidRDefault="00470A5C" w:rsidP="00470A5C">
                  <w:pPr>
                    <w:rPr>
                      <w:b/>
                      <w:color w:val="5B9BD5"/>
                    </w:rPr>
                  </w:pPr>
                  <w:r>
                    <w:rPr>
                      <w:b/>
                      <w:color w:val="5B9BD5"/>
                    </w:rPr>
                    <w:t>Item 6.2</w:t>
                  </w:r>
                </w:p>
              </w:txbxContent>
            </v:textbox>
            <w10:wrap type="square"/>
          </v:shape>
        </w:pict>
      </w:r>
      <w:r w:rsidR="000B17DC" w:rsidRPr="00D8698E">
        <w:t xml:space="preserve">The following key points were </w:t>
      </w:r>
      <w:r w:rsidR="000B17DC">
        <w:t xml:space="preserve">discussed </w:t>
      </w:r>
      <w:r w:rsidR="000B17DC" w:rsidRPr="00D8698E">
        <w:t xml:space="preserve">at the meeting and have been split into the three high level quality ambitions of </w:t>
      </w:r>
      <w:r w:rsidR="000B17DC">
        <w:t xml:space="preserve">person centred, </w:t>
      </w:r>
      <w:r w:rsidR="000B17DC" w:rsidRPr="00D8698E">
        <w:t>saf</w:t>
      </w:r>
      <w:r w:rsidR="000B17DC">
        <w:t>e, and effective.</w:t>
      </w:r>
    </w:p>
    <w:p w:rsidR="000B17DC" w:rsidRPr="00D8698E" w:rsidRDefault="000B17DC" w:rsidP="000B17DC"/>
    <w:tbl>
      <w:tblPr>
        <w:tblW w:w="81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7"/>
        <w:gridCol w:w="6883"/>
      </w:tblGrid>
      <w:tr w:rsidR="000B17DC" w:rsidRPr="00F06CCF" w:rsidTr="00AC4CF7">
        <w:trPr>
          <w:trHeight w:val="884"/>
        </w:trPr>
        <w:tc>
          <w:tcPr>
            <w:tcW w:w="1217" w:type="dxa"/>
            <w:shd w:val="clear" w:color="auto" w:fill="0000FF"/>
          </w:tcPr>
          <w:p w:rsidR="000B17DC" w:rsidRPr="00F06CCF" w:rsidRDefault="000B17DC" w:rsidP="00AC4CF7">
            <w:pPr>
              <w:rPr>
                <w:b/>
                <w:bCs/>
                <w:color w:val="FFFFFF"/>
                <w:lang w:val="en-US"/>
              </w:rPr>
            </w:pPr>
          </w:p>
          <w:p w:rsidR="000B17DC" w:rsidRPr="00F06CCF" w:rsidRDefault="000B17DC" w:rsidP="00AC4CF7">
            <w:pPr>
              <w:rPr>
                <w:b/>
                <w:bCs/>
                <w:color w:val="FFFFFF"/>
                <w:lang w:val="en-US"/>
              </w:rPr>
            </w:pPr>
            <w:r w:rsidRPr="00F06CCF">
              <w:rPr>
                <w:b/>
                <w:bCs/>
                <w:color w:val="FFFFFF"/>
                <w:lang w:val="en-US"/>
              </w:rPr>
              <w:t>Item</w:t>
            </w:r>
          </w:p>
        </w:tc>
        <w:tc>
          <w:tcPr>
            <w:tcW w:w="6883" w:type="dxa"/>
            <w:shd w:val="clear" w:color="auto" w:fill="0000FF"/>
          </w:tcPr>
          <w:p w:rsidR="000B17DC" w:rsidRPr="00F06CCF" w:rsidRDefault="000B17DC" w:rsidP="00AC4CF7">
            <w:pPr>
              <w:rPr>
                <w:b/>
                <w:bCs/>
                <w:color w:val="FFFFFF"/>
                <w:lang w:val="en-US"/>
              </w:rPr>
            </w:pPr>
          </w:p>
          <w:p w:rsidR="000B17DC" w:rsidRPr="00F06CCF" w:rsidRDefault="000B17DC" w:rsidP="00AC4CF7">
            <w:pPr>
              <w:rPr>
                <w:b/>
                <w:bCs/>
                <w:color w:val="FFFFFF"/>
                <w:lang w:val="en-US"/>
              </w:rPr>
            </w:pPr>
            <w:r w:rsidRPr="00F06CCF">
              <w:rPr>
                <w:b/>
                <w:bCs/>
                <w:color w:val="FFFFFF"/>
                <w:lang w:val="en-US"/>
              </w:rPr>
              <w:t>Details</w:t>
            </w:r>
          </w:p>
        </w:tc>
      </w:tr>
      <w:tr w:rsidR="000B17DC" w:rsidRPr="00F06CCF" w:rsidTr="00AC4CF7">
        <w:tc>
          <w:tcPr>
            <w:tcW w:w="1217" w:type="dxa"/>
          </w:tcPr>
          <w:p w:rsidR="000B17DC" w:rsidRPr="00F06CCF" w:rsidRDefault="000B17DC" w:rsidP="00AC4CF7">
            <w:pPr>
              <w:rPr>
                <w:b/>
                <w:bCs/>
                <w:lang w:val="en-US"/>
              </w:rPr>
            </w:pPr>
            <w:r w:rsidRPr="00F06CCF">
              <w:rPr>
                <w:b/>
                <w:bCs/>
                <w:lang w:val="en-US"/>
              </w:rPr>
              <w:t>Person Centred</w:t>
            </w:r>
          </w:p>
          <w:p w:rsidR="000B17DC" w:rsidRPr="00F06CCF" w:rsidRDefault="000B17DC" w:rsidP="00AC4CF7">
            <w:pPr>
              <w:rPr>
                <w:bCs/>
                <w:lang w:val="en-US"/>
              </w:rPr>
            </w:pPr>
          </w:p>
          <w:p w:rsidR="000B17DC" w:rsidRPr="00F06CCF" w:rsidRDefault="000B17DC" w:rsidP="00AC4CF7">
            <w:pPr>
              <w:rPr>
                <w:bCs/>
                <w:lang w:val="en-US"/>
              </w:rPr>
            </w:pPr>
          </w:p>
          <w:p w:rsidR="000B17DC" w:rsidRPr="00F06CCF" w:rsidRDefault="000B17DC" w:rsidP="00AC4CF7">
            <w:pPr>
              <w:rPr>
                <w:bCs/>
                <w:lang w:val="en-US"/>
              </w:rPr>
            </w:pPr>
          </w:p>
        </w:tc>
        <w:tc>
          <w:tcPr>
            <w:tcW w:w="6883" w:type="dxa"/>
          </w:tcPr>
          <w:p w:rsidR="000B17DC" w:rsidRDefault="000B17DC" w:rsidP="00AC4CF7">
            <w:pPr>
              <w:rPr>
                <w:b/>
                <w:color w:val="000000"/>
              </w:rPr>
            </w:pPr>
            <w:r w:rsidRPr="00F06CCF">
              <w:rPr>
                <w:b/>
                <w:color w:val="000000"/>
              </w:rPr>
              <w:t>Mutually beneficial partnerships between patients, their families and those delivering healthcare services which respect individual needs and values and which demonstrate compassion, continuity, clear communication and shared decision-making.</w:t>
            </w:r>
          </w:p>
          <w:p w:rsidR="00C8687A" w:rsidRDefault="00C8687A" w:rsidP="00AC4CF7">
            <w:pPr>
              <w:rPr>
                <w:b/>
                <w:color w:val="000000"/>
              </w:rPr>
            </w:pPr>
          </w:p>
          <w:p w:rsidR="00C8687A" w:rsidRDefault="00C8687A" w:rsidP="00C8687A">
            <w:pPr>
              <w:rPr>
                <w:b/>
              </w:rPr>
            </w:pPr>
            <w:r>
              <w:rPr>
                <w:b/>
              </w:rPr>
              <w:t>iMatter</w:t>
            </w:r>
          </w:p>
          <w:p w:rsidR="000B17DC" w:rsidRPr="005113D2" w:rsidRDefault="00C8687A" w:rsidP="005113D2">
            <w:r>
              <w:t>The committee discussed the results of the annual iMatter survey noting increased response rate in 2019 compared to 2018 but also a reduction in 2019 of the percentage of teams completing an action plan within 12 weeks compared to 2018. The committee agreed to further work including focus groups with staff to explore how to make better use of iMatter survey results and improve team action planning.</w:t>
            </w:r>
          </w:p>
        </w:tc>
      </w:tr>
      <w:tr w:rsidR="000B17DC" w:rsidRPr="00F06CCF" w:rsidTr="00AC4CF7">
        <w:tc>
          <w:tcPr>
            <w:tcW w:w="1217" w:type="dxa"/>
          </w:tcPr>
          <w:p w:rsidR="000B17DC" w:rsidRPr="00F06CCF" w:rsidRDefault="000B17DC" w:rsidP="00AC4CF7">
            <w:pPr>
              <w:rPr>
                <w:b/>
                <w:bCs/>
                <w:lang w:val="en-US"/>
              </w:rPr>
            </w:pPr>
            <w:r w:rsidRPr="00F06CCF">
              <w:rPr>
                <w:b/>
                <w:bCs/>
                <w:lang w:val="en-US"/>
              </w:rPr>
              <w:t>Safe</w:t>
            </w:r>
          </w:p>
          <w:p w:rsidR="000B17DC" w:rsidRDefault="000B17DC" w:rsidP="00AC4CF7"/>
          <w:p w:rsidR="000B17DC" w:rsidRDefault="000B17DC" w:rsidP="00AC4CF7"/>
          <w:p w:rsidR="000B17DC" w:rsidRDefault="000B17DC" w:rsidP="00AC4CF7"/>
          <w:p w:rsidR="000B17DC" w:rsidRDefault="000B17DC" w:rsidP="00AC4CF7"/>
          <w:p w:rsidR="000B17DC" w:rsidRDefault="000B17DC" w:rsidP="00AC4CF7"/>
          <w:p w:rsidR="000B17DC" w:rsidRDefault="000B17DC" w:rsidP="00AC4CF7"/>
          <w:p w:rsidR="000B17DC" w:rsidRPr="008A1D76" w:rsidRDefault="000B17DC" w:rsidP="00AC4CF7"/>
        </w:tc>
        <w:tc>
          <w:tcPr>
            <w:tcW w:w="6883" w:type="dxa"/>
          </w:tcPr>
          <w:p w:rsidR="00C8687A" w:rsidRDefault="00C8687A" w:rsidP="00C8687A">
            <w:pPr>
              <w:pStyle w:val="ListParagraph"/>
              <w:ind w:left="0"/>
              <w:rPr>
                <w:b/>
                <w:color w:val="000000"/>
              </w:rPr>
            </w:pPr>
            <w:r w:rsidRPr="00F06CCF">
              <w:rPr>
                <w:b/>
                <w:color w:val="000000"/>
              </w:rPr>
              <w:t>There will be no avoidable injury or harm to people from healthcare they receive, and an appropriate, clean and safe environment will be provided for the delivery of healthcare services at all times.</w:t>
            </w:r>
          </w:p>
          <w:p w:rsidR="00C8687A" w:rsidRPr="00F06CCF" w:rsidRDefault="00C8687A" w:rsidP="00C8687A">
            <w:pPr>
              <w:pStyle w:val="ListParagraph"/>
              <w:ind w:left="0"/>
              <w:rPr>
                <w:b/>
                <w:color w:val="000000"/>
              </w:rPr>
            </w:pPr>
          </w:p>
          <w:p w:rsidR="00C8687A" w:rsidRDefault="00C8687A" w:rsidP="00C8687A">
            <w:pPr>
              <w:rPr>
                <w:b/>
              </w:rPr>
            </w:pPr>
            <w:r w:rsidRPr="006A4932">
              <w:rPr>
                <w:b/>
              </w:rPr>
              <w:t>Complaints and Feedback</w:t>
            </w:r>
          </w:p>
          <w:p w:rsidR="00C8687A" w:rsidRDefault="00C8687A" w:rsidP="00C8687A">
            <w:r>
              <w:t>The committee discussed its role in relation to complaints and feedback and agreed that further clarification would be helpful with a proposal on changes to the committee’s Terms of Reference to return to next committee meeting. This proposal will set out the proposed role of Person-Centred Committee in:</w:t>
            </w:r>
          </w:p>
          <w:p w:rsidR="00C8687A" w:rsidRDefault="00C8687A" w:rsidP="00C8687A">
            <w:pPr>
              <w:pStyle w:val="ListParagraph"/>
              <w:numPr>
                <w:ilvl w:val="0"/>
                <w:numId w:val="1"/>
              </w:numPr>
              <w:spacing w:after="120"/>
              <w:contextualSpacing/>
            </w:pPr>
            <w:r>
              <w:t>reviewing analysis of a range care experience data</w:t>
            </w:r>
          </w:p>
          <w:p w:rsidR="00C8687A" w:rsidRDefault="00AB3582" w:rsidP="00C8687A">
            <w:pPr>
              <w:pStyle w:val="ListParagraph"/>
              <w:numPr>
                <w:ilvl w:val="0"/>
                <w:numId w:val="1"/>
              </w:numPr>
              <w:spacing w:after="120"/>
              <w:contextualSpacing/>
            </w:pPr>
            <w:r>
              <w:t>agreeing the terms</w:t>
            </w:r>
            <w:r w:rsidR="00C8687A">
              <w:t xml:space="preserve"> for further deep dives and;</w:t>
            </w:r>
          </w:p>
          <w:p w:rsidR="00C8687A" w:rsidRDefault="00C8687A" w:rsidP="00C8687A">
            <w:pPr>
              <w:pStyle w:val="ListParagraph"/>
              <w:numPr>
                <w:ilvl w:val="0"/>
                <w:numId w:val="1"/>
              </w:numPr>
              <w:spacing w:after="120"/>
              <w:contextualSpacing/>
            </w:pPr>
            <w:r>
              <w:t>agreeing areas for improvement focussed work in relation to care experience and person-centred care</w:t>
            </w:r>
          </w:p>
          <w:p w:rsidR="000B17DC" w:rsidRPr="00C8687A" w:rsidRDefault="00C8687A" w:rsidP="00C8687A">
            <w:pPr>
              <w:pStyle w:val="ListParagraph"/>
              <w:numPr>
                <w:ilvl w:val="0"/>
                <w:numId w:val="1"/>
              </w:numPr>
              <w:spacing w:after="120"/>
              <w:contextualSpacing/>
            </w:pPr>
            <w:r>
              <w:t>Monitoring progress of care experience and person-centred care initiatives and programmes</w:t>
            </w:r>
          </w:p>
        </w:tc>
      </w:tr>
      <w:tr w:rsidR="000B17DC" w:rsidRPr="00F06CCF" w:rsidTr="00AC4CF7">
        <w:tc>
          <w:tcPr>
            <w:tcW w:w="1217" w:type="dxa"/>
          </w:tcPr>
          <w:p w:rsidR="000B17DC" w:rsidRPr="00F06CCF" w:rsidRDefault="000B17DC" w:rsidP="00AC4CF7">
            <w:pPr>
              <w:rPr>
                <w:b/>
                <w:lang w:val="en-US"/>
              </w:rPr>
            </w:pPr>
            <w:r w:rsidRPr="00F06CCF">
              <w:rPr>
                <w:b/>
                <w:lang w:val="en-US"/>
              </w:rPr>
              <w:lastRenderedPageBreak/>
              <w:t>Effective</w:t>
            </w:r>
          </w:p>
          <w:p w:rsidR="000B17DC" w:rsidRDefault="000B17DC" w:rsidP="00AC4CF7"/>
          <w:p w:rsidR="000B17DC" w:rsidRDefault="000B17DC" w:rsidP="00AC4CF7"/>
          <w:p w:rsidR="000B17DC" w:rsidRPr="00B40E70" w:rsidRDefault="000B17DC" w:rsidP="00AC4CF7"/>
        </w:tc>
        <w:tc>
          <w:tcPr>
            <w:tcW w:w="6883" w:type="dxa"/>
          </w:tcPr>
          <w:p w:rsidR="000B17DC" w:rsidRDefault="000B17DC" w:rsidP="00AC4CF7">
            <w:pPr>
              <w:rPr>
                <w:b/>
              </w:rPr>
            </w:pPr>
            <w:r>
              <w:rPr>
                <w:b/>
                <w:color w:val="000000"/>
              </w:rPr>
              <w:t xml:space="preserve">The </w:t>
            </w:r>
            <w:r w:rsidRPr="00F06CCF">
              <w:rPr>
                <w:b/>
                <w:color w:val="000000"/>
              </w:rPr>
              <w:t>most appropriate treatments, interventions, support and services will be provided at the right time to everyone who will benefit, and wasteful or harmful variation will be eradicated.</w:t>
            </w:r>
            <w:r>
              <w:rPr>
                <w:b/>
              </w:rPr>
              <w:t xml:space="preserve"> </w:t>
            </w:r>
          </w:p>
          <w:p w:rsidR="00C8687A" w:rsidRDefault="00C8687A" w:rsidP="00AC4CF7">
            <w:pPr>
              <w:rPr>
                <w:b/>
              </w:rPr>
            </w:pPr>
          </w:p>
          <w:p w:rsidR="00C8687A" w:rsidRDefault="00C8687A" w:rsidP="00C8687A">
            <w:pPr>
              <w:rPr>
                <w:b/>
              </w:rPr>
            </w:pPr>
            <w:r>
              <w:rPr>
                <w:b/>
              </w:rPr>
              <w:t>Sickness Absence and Appraisal rates analysis</w:t>
            </w:r>
          </w:p>
          <w:p w:rsidR="000B17DC" w:rsidRPr="005113D2" w:rsidRDefault="00C8687A" w:rsidP="00091313">
            <w:r>
              <w:t>The committee discussed results of analysis by department of sickness absence rates and appraisal rates. The committee noted the targeted work to improve appraisal completion rates and resulting improvement across a number of departments. The committee also noted the identification of departments where further work and support will focussed to help identify improvements and actions to address causes of sickness absence and other factors that may be impacting on staff governance including appraisal completion rates.</w:t>
            </w:r>
          </w:p>
        </w:tc>
      </w:tr>
    </w:tbl>
    <w:p w:rsidR="000B17DC" w:rsidRDefault="000B17DC" w:rsidP="000B17DC">
      <w:pPr>
        <w:rPr>
          <w:b/>
          <w:u w:val="single"/>
        </w:rPr>
      </w:pPr>
    </w:p>
    <w:p w:rsidR="000B17DC" w:rsidRPr="00414A13" w:rsidRDefault="000B17DC" w:rsidP="000B17DC">
      <w:pPr>
        <w:rPr>
          <w:bCs/>
        </w:rPr>
      </w:pPr>
      <w:r w:rsidRPr="00414A13">
        <w:rPr>
          <w:bCs/>
        </w:rPr>
        <w:t xml:space="preserve">The next meeting is scheduled for:  </w:t>
      </w:r>
      <w:r w:rsidR="00C8687A">
        <w:rPr>
          <w:bCs/>
        </w:rPr>
        <w:t>15</w:t>
      </w:r>
      <w:r w:rsidR="00C8687A" w:rsidRPr="00C8687A">
        <w:rPr>
          <w:bCs/>
          <w:vertAlign w:val="superscript"/>
        </w:rPr>
        <w:t>th</w:t>
      </w:r>
      <w:r w:rsidR="00C8687A">
        <w:rPr>
          <w:bCs/>
        </w:rPr>
        <w:t xml:space="preserve"> January 2020</w:t>
      </w:r>
    </w:p>
    <w:p w:rsidR="000B17DC" w:rsidRDefault="000B17DC" w:rsidP="000B17DC">
      <w:pPr>
        <w:rPr>
          <w:b/>
          <w:bCs/>
        </w:rPr>
      </w:pPr>
    </w:p>
    <w:p w:rsidR="000B17DC" w:rsidRDefault="00C8687A" w:rsidP="000B17DC">
      <w:pPr>
        <w:rPr>
          <w:b/>
          <w:bCs/>
        </w:rPr>
      </w:pPr>
      <w:r>
        <w:rPr>
          <w:b/>
          <w:bCs/>
        </w:rPr>
        <w:t>Stephen McAllister</w:t>
      </w:r>
    </w:p>
    <w:p w:rsidR="000B17DC" w:rsidRDefault="000B17DC" w:rsidP="000B17DC">
      <w:pPr>
        <w:rPr>
          <w:b/>
          <w:bCs/>
        </w:rPr>
      </w:pPr>
      <w:r>
        <w:rPr>
          <w:b/>
          <w:bCs/>
        </w:rPr>
        <w:t>Non Executive Director</w:t>
      </w:r>
    </w:p>
    <w:p w:rsidR="000B17DC" w:rsidRDefault="000B17DC" w:rsidP="000B17DC">
      <w:pPr>
        <w:rPr>
          <w:b/>
          <w:bCs/>
        </w:rPr>
      </w:pPr>
    </w:p>
    <w:p w:rsidR="000B17DC" w:rsidRPr="00C92710" w:rsidRDefault="000B17DC" w:rsidP="000B17DC">
      <w:pPr>
        <w:rPr>
          <w:b/>
          <w:bCs/>
        </w:rPr>
      </w:pPr>
      <w:r>
        <w:rPr>
          <w:b/>
          <w:bCs/>
        </w:rPr>
        <w:t>Gareth Adkins</w:t>
      </w:r>
    </w:p>
    <w:p w:rsidR="00E03A8B" w:rsidRPr="00BC5035" w:rsidRDefault="000B17DC">
      <w:pPr>
        <w:rPr>
          <w:b/>
          <w:bCs/>
        </w:rPr>
      </w:pPr>
      <w:r>
        <w:rPr>
          <w:b/>
          <w:bCs/>
        </w:rPr>
        <w:t>Director of Quality, Innovation &amp; People</w:t>
      </w:r>
    </w:p>
    <w:sectPr w:rsidR="00E03A8B" w:rsidRPr="00BC5035" w:rsidSect="00542C30">
      <w:footerReference w:type="even" r:id="rId7"/>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1F79" w:rsidRDefault="00BC5035">
      <w:r>
        <w:separator/>
      </w:r>
    </w:p>
  </w:endnote>
  <w:endnote w:type="continuationSeparator" w:id="0">
    <w:p w:rsidR="00931F79" w:rsidRDefault="00BC50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1342" w:rsidRDefault="00254CCE" w:rsidP="00824E9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31342" w:rsidRDefault="00470A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1342" w:rsidRDefault="00254CCE" w:rsidP="00824E9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70A5C">
      <w:rPr>
        <w:rStyle w:val="PageNumber"/>
        <w:noProof/>
      </w:rPr>
      <w:t>1</w:t>
    </w:r>
    <w:r>
      <w:rPr>
        <w:rStyle w:val="PageNumber"/>
      </w:rPr>
      <w:fldChar w:fldCharType="end"/>
    </w:r>
  </w:p>
  <w:p w:rsidR="00E31342" w:rsidRDefault="00470A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1F79" w:rsidRDefault="00BC5035">
      <w:r>
        <w:separator/>
      </w:r>
    </w:p>
  </w:footnote>
  <w:footnote w:type="continuationSeparator" w:id="0">
    <w:p w:rsidR="00931F79" w:rsidRDefault="00BC50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D6C6212"/>
    <w:multiLevelType w:val="hybridMultilevel"/>
    <w:tmpl w:val="48008FE8"/>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0B17DC"/>
    <w:rsid w:val="00053F84"/>
    <w:rsid w:val="000876B7"/>
    <w:rsid w:val="00091313"/>
    <w:rsid w:val="000B17DC"/>
    <w:rsid w:val="000B24E6"/>
    <w:rsid w:val="000C2561"/>
    <w:rsid w:val="001A6338"/>
    <w:rsid w:val="00252327"/>
    <w:rsid w:val="00254CCE"/>
    <w:rsid w:val="002E13BF"/>
    <w:rsid w:val="002F4007"/>
    <w:rsid w:val="003728C1"/>
    <w:rsid w:val="00407A8F"/>
    <w:rsid w:val="00470A5C"/>
    <w:rsid w:val="004C0F08"/>
    <w:rsid w:val="004C48EE"/>
    <w:rsid w:val="004D00E2"/>
    <w:rsid w:val="004F06B2"/>
    <w:rsid w:val="005113D2"/>
    <w:rsid w:val="00603AE6"/>
    <w:rsid w:val="006C1437"/>
    <w:rsid w:val="00843075"/>
    <w:rsid w:val="00931F79"/>
    <w:rsid w:val="00AB3582"/>
    <w:rsid w:val="00AC23AC"/>
    <w:rsid w:val="00AC3CE8"/>
    <w:rsid w:val="00B33616"/>
    <w:rsid w:val="00BC5035"/>
    <w:rsid w:val="00BE565B"/>
    <w:rsid w:val="00BF604C"/>
    <w:rsid w:val="00C3773F"/>
    <w:rsid w:val="00C8687A"/>
    <w:rsid w:val="00C979E9"/>
    <w:rsid w:val="00DA1EB4"/>
    <w:rsid w:val="00E03A8B"/>
    <w:rsid w:val="00E9272D"/>
    <w:rsid w:val="00F21661"/>
    <w:rsid w:val="00F53EE1"/>
    <w:rsid w:val="00FC045D"/>
    <w:rsid w:val="00FE68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E831704"/>
  <w15:chartTrackingRefBased/>
  <w15:docId w15:val="{ECE4645B-1C5D-4DBE-AA1B-83FE1098C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17DC"/>
    <w:pPr>
      <w:spacing w:after="0" w:line="240" w:lineRule="auto"/>
    </w:pPr>
    <w:rPr>
      <w:rFonts w:ascii="Arial" w:eastAsia="Times New Roman" w:hAnsi="Arial" w:cs="Arial"/>
      <w:sz w:val="24"/>
      <w:szCs w:val="24"/>
    </w:rPr>
  </w:style>
  <w:style w:type="paragraph" w:styleId="Heading1">
    <w:name w:val="heading 1"/>
    <w:basedOn w:val="Normal"/>
    <w:next w:val="Normal"/>
    <w:link w:val="Heading1Char"/>
    <w:qFormat/>
    <w:rsid w:val="000B17DC"/>
    <w:pPr>
      <w:keepNext/>
      <w:outlineLvl w:val="0"/>
    </w:pPr>
    <w:rPr>
      <w:rFonts w:ascii="Times New Roman" w:hAnsi="Times New Roman" w:cs="Times New Roman"/>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B17DC"/>
    <w:rPr>
      <w:rFonts w:ascii="Times New Roman" w:eastAsia="Times New Roman" w:hAnsi="Times New Roman" w:cs="Times New Roman"/>
      <w:b/>
      <w:bCs/>
      <w:sz w:val="32"/>
      <w:szCs w:val="32"/>
    </w:rPr>
  </w:style>
  <w:style w:type="paragraph" w:styleId="Footer">
    <w:name w:val="footer"/>
    <w:basedOn w:val="Normal"/>
    <w:link w:val="FooterChar"/>
    <w:rsid w:val="000B17DC"/>
    <w:pPr>
      <w:tabs>
        <w:tab w:val="center" w:pos="4153"/>
        <w:tab w:val="right" w:pos="8306"/>
      </w:tabs>
    </w:pPr>
  </w:style>
  <w:style w:type="character" w:customStyle="1" w:styleId="FooterChar">
    <w:name w:val="Footer Char"/>
    <w:basedOn w:val="DefaultParagraphFont"/>
    <w:link w:val="Footer"/>
    <w:rsid w:val="000B17DC"/>
    <w:rPr>
      <w:rFonts w:ascii="Arial" w:eastAsia="Times New Roman" w:hAnsi="Arial" w:cs="Arial"/>
      <w:sz w:val="24"/>
      <w:szCs w:val="24"/>
    </w:rPr>
  </w:style>
  <w:style w:type="character" w:styleId="PageNumber">
    <w:name w:val="page number"/>
    <w:basedOn w:val="DefaultParagraphFont"/>
    <w:rsid w:val="000B17DC"/>
  </w:style>
  <w:style w:type="paragraph" w:styleId="ListParagraph">
    <w:name w:val="List Paragraph"/>
    <w:basedOn w:val="Normal"/>
    <w:qFormat/>
    <w:rsid w:val="000B17DC"/>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421</Words>
  <Characters>2404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GJNH</Company>
  <LinksUpToDate>false</LinksUpToDate>
  <CharactersWithSpaces>2820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Nelsonc</dc:creator>
  <cp:keywords/>
  <dc:description/>
  <cp:lastModifiedBy>Liane McGrath</cp:lastModifiedBy>
  <cp:revision>5</cp:revision>
  <dcterms:created xsi:type="dcterms:W3CDTF">2019-11-08T11:43:00Z</dcterms:created>
  <dcterms:modified xsi:type="dcterms:W3CDTF">2019-11-14T15:49:00Z</dcterms:modified>
</cp:coreProperties>
</file>