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50"/>
        <w:tblW w:w="9356" w:type="dxa"/>
        <w:tblLayout w:type="fixed"/>
        <w:tblLook w:val="04A0" w:firstRow="1" w:lastRow="0" w:firstColumn="1" w:lastColumn="0" w:noHBand="0" w:noVBand="1"/>
      </w:tblPr>
      <w:tblGrid>
        <w:gridCol w:w="2557"/>
        <w:gridCol w:w="4814"/>
        <w:gridCol w:w="1985"/>
      </w:tblGrid>
      <w:tr w:rsidR="003263F1" w:rsidRPr="007A368B" w:rsidTr="00E17AD3">
        <w:trPr>
          <w:trHeight w:val="557"/>
        </w:trPr>
        <w:tc>
          <w:tcPr>
            <w:tcW w:w="2557" w:type="dxa"/>
          </w:tcPr>
          <w:p w:rsidR="003263F1" w:rsidRPr="007A368B" w:rsidRDefault="003263F1" w:rsidP="00E17AD3">
            <w:pPr>
              <w:pStyle w:val="Heading1"/>
              <w:spacing w:before="60" w:after="60"/>
              <w:ind w:right="183"/>
              <w:contextualSpacing/>
              <w:rPr>
                <w:rFonts w:ascii="Arial" w:hAnsi="Arial" w:cs="Arial"/>
                <w:sz w:val="22"/>
                <w:szCs w:val="22"/>
              </w:rPr>
            </w:pPr>
            <w:r w:rsidRPr="007A368B">
              <w:rPr>
                <w:rFonts w:ascii="Arial" w:hAnsi="Arial" w:cs="Arial"/>
                <w:sz w:val="22"/>
                <w:szCs w:val="22"/>
              </w:rPr>
              <w:t>Board Meeting:</w:t>
            </w:r>
          </w:p>
        </w:tc>
        <w:tc>
          <w:tcPr>
            <w:tcW w:w="4814" w:type="dxa"/>
          </w:tcPr>
          <w:p w:rsidR="003263F1" w:rsidRPr="007A368B" w:rsidRDefault="002833B8" w:rsidP="00E17AD3">
            <w:pPr>
              <w:pStyle w:val="Heading1"/>
              <w:spacing w:before="60" w:after="60"/>
              <w:ind w:right="183"/>
              <w:contextualSpacing/>
              <w:rPr>
                <w:rFonts w:ascii="Arial" w:hAnsi="Arial" w:cs="Arial"/>
                <w:b w:val="0"/>
                <w:sz w:val="22"/>
                <w:szCs w:val="22"/>
              </w:rPr>
            </w:pPr>
            <w:r w:rsidRPr="007A368B">
              <w:rPr>
                <w:rFonts w:ascii="Arial" w:hAnsi="Arial" w:cs="Arial"/>
                <w:b w:val="0"/>
                <w:sz w:val="22"/>
                <w:szCs w:val="22"/>
              </w:rPr>
              <w:t xml:space="preserve">21 November </w:t>
            </w:r>
            <w:r w:rsidR="008B1814" w:rsidRPr="007A368B">
              <w:rPr>
                <w:rFonts w:ascii="Arial" w:hAnsi="Arial" w:cs="Arial"/>
                <w:b w:val="0"/>
                <w:sz w:val="22"/>
                <w:szCs w:val="22"/>
              </w:rPr>
              <w:t>2019</w:t>
            </w:r>
            <w:r w:rsidR="008B1814" w:rsidRPr="007A368B">
              <w:rPr>
                <w:rFonts w:ascii="Arial" w:hAnsi="Arial" w:cs="Arial"/>
                <w:noProof/>
                <w:sz w:val="22"/>
                <w:szCs w:val="22"/>
                <w:lang w:eastAsia="en-GB"/>
              </w:rPr>
              <w:t xml:space="preserve"> </w:t>
            </w:r>
          </w:p>
        </w:tc>
        <w:tc>
          <w:tcPr>
            <w:tcW w:w="1985" w:type="dxa"/>
            <w:vMerge w:val="restart"/>
          </w:tcPr>
          <w:p w:rsidR="003263F1" w:rsidRPr="007A368B" w:rsidRDefault="00AA09E0" w:rsidP="00E17AD3">
            <w:pPr>
              <w:pStyle w:val="Heading1"/>
              <w:spacing w:before="60" w:after="60"/>
              <w:ind w:right="34"/>
              <w:contextualSpacing/>
              <w:rPr>
                <w:rFonts w:ascii="Arial" w:hAnsi="Arial" w:cs="Arial"/>
                <w:sz w:val="22"/>
                <w:szCs w:val="22"/>
              </w:rPr>
            </w:pPr>
            <w:r w:rsidRPr="007A368B">
              <w:rPr>
                <w:rFonts w:ascii="Arial" w:hAnsi="Arial" w:cs="Arial"/>
                <w:noProof/>
                <w:sz w:val="22"/>
                <w:szCs w:val="22"/>
                <w:lang w:eastAsia="en-GB"/>
              </w:rPr>
              <w:drawing>
                <wp:inline distT="0" distB="0" distL="0" distR="0">
                  <wp:extent cx="1123950" cy="419100"/>
                  <wp:effectExtent l="0" t="0" r="0" b="0"/>
                  <wp:docPr id="3" name="Picture 3" descr="\\Nwtc-filestr01\photographs\Foundation\logos\merge nhs gjf\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wtc-filestr01\photographs\Foundation\logos\merge nhs gjf\dual branding.jpg"/>
                          <pic:cNvPicPr>
                            <a:picLocks noChangeAspect="1" noChangeArrowheads="1"/>
                          </pic:cNvPicPr>
                        </pic:nvPicPr>
                        <pic:blipFill>
                          <a:blip r:embed="rId7" cstate="print"/>
                          <a:srcRect/>
                          <a:stretch>
                            <a:fillRect/>
                          </a:stretch>
                        </pic:blipFill>
                        <pic:spPr bwMode="auto">
                          <a:xfrm>
                            <a:off x="0" y="0"/>
                            <a:ext cx="1123950" cy="419100"/>
                          </a:xfrm>
                          <a:prstGeom prst="rect">
                            <a:avLst/>
                          </a:prstGeom>
                          <a:noFill/>
                          <a:ln w="9525">
                            <a:noFill/>
                            <a:miter lim="800000"/>
                            <a:headEnd/>
                            <a:tailEnd/>
                          </a:ln>
                        </pic:spPr>
                      </pic:pic>
                    </a:graphicData>
                  </a:graphic>
                </wp:inline>
              </w:drawing>
            </w:r>
          </w:p>
        </w:tc>
      </w:tr>
      <w:tr w:rsidR="003263F1" w:rsidRPr="007A368B" w:rsidTr="00E17AD3">
        <w:trPr>
          <w:trHeight w:val="859"/>
        </w:trPr>
        <w:tc>
          <w:tcPr>
            <w:tcW w:w="2557" w:type="dxa"/>
          </w:tcPr>
          <w:p w:rsidR="003263F1" w:rsidRPr="007A368B" w:rsidRDefault="003263F1" w:rsidP="00E17AD3">
            <w:pPr>
              <w:pStyle w:val="Heading1"/>
              <w:spacing w:before="60" w:after="60"/>
              <w:ind w:right="183"/>
              <w:contextualSpacing/>
              <w:rPr>
                <w:rFonts w:ascii="Arial" w:hAnsi="Arial" w:cs="Arial"/>
                <w:sz w:val="22"/>
                <w:szCs w:val="22"/>
              </w:rPr>
            </w:pPr>
            <w:r w:rsidRPr="007A368B">
              <w:rPr>
                <w:rFonts w:ascii="Arial" w:hAnsi="Arial" w:cs="Arial"/>
                <w:bCs w:val="0"/>
                <w:sz w:val="22"/>
                <w:szCs w:val="22"/>
              </w:rPr>
              <w:t>Subject:</w:t>
            </w:r>
          </w:p>
        </w:tc>
        <w:tc>
          <w:tcPr>
            <w:tcW w:w="4814" w:type="dxa"/>
          </w:tcPr>
          <w:p w:rsidR="00A51A3E" w:rsidRPr="007A368B" w:rsidRDefault="008B1814" w:rsidP="00E17AD3">
            <w:pPr>
              <w:pStyle w:val="Heading1"/>
              <w:spacing w:before="60" w:after="60"/>
              <w:ind w:right="183"/>
              <w:contextualSpacing/>
              <w:rPr>
                <w:rFonts w:ascii="Arial" w:hAnsi="Arial" w:cs="Arial"/>
                <w:sz w:val="22"/>
                <w:szCs w:val="22"/>
              </w:rPr>
            </w:pPr>
            <w:r w:rsidRPr="007A368B">
              <w:rPr>
                <w:rFonts w:ascii="Arial" w:hAnsi="Arial" w:cs="Arial"/>
                <w:b w:val="0"/>
                <w:sz w:val="22"/>
                <w:szCs w:val="22"/>
              </w:rPr>
              <w:t>Endowments Sub Committee</w:t>
            </w:r>
            <w:r w:rsidRPr="007A368B">
              <w:rPr>
                <w:rFonts w:ascii="Arial" w:hAnsi="Arial" w:cs="Arial"/>
                <w:b w:val="0"/>
                <w:bCs w:val="0"/>
                <w:sz w:val="22"/>
                <w:szCs w:val="22"/>
              </w:rPr>
              <w:br/>
            </w:r>
            <w:r w:rsidRPr="007A368B">
              <w:rPr>
                <w:rFonts w:ascii="Arial" w:hAnsi="Arial" w:cs="Arial"/>
                <w:b w:val="0"/>
                <w:sz w:val="22"/>
                <w:szCs w:val="22"/>
              </w:rPr>
              <w:t>update</w:t>
            </w:r>
            <w:r w:rsidRPr="007A368B">
              <w:rPr>
                <w:rFonts w:ascii="Arial" w:hAnsi="Arial" w:cs="Arial"/>
                <w:b w:val="0"/>
                <w:bCs w:val="0"/>
                <w:sz w:val="22"/>
                <w:szCs w:val="22"/>
              </w:rPr>
              <w:t xml:space="preserve"> – </w:t>
            </w:r>
            <w:r w:rsidR="002833B8" w:rsidRPr="007A368B">
              <w:rPr>
                <w:rFonts w:ascii="Arial" w:hAnsi="Arial" w:cs="Arial"/>
                <w:b w:val="0"/>
                <w:bCs w:val="0"/>
                <w:sz w:val="22"/>
                <w:szCs w:val="22"/>
              </w:rPr>
              <w:t>8 November 2019</w:t>
            </w:r>
          </w:p>
        </w:tc>
        <w:tc>
          <w:tcPr>
            <w:tcW w:w="1985" w:type="dxa"/>
            <w:vMerge/>
          </w:tcPr>
          <w:p w:rsidR="003263F1" w:rsidRPr="007A368B" w:rsidRDefault="003263F1" w:rsidP="00E17AD3">
            <w:pPr>
              <w:pStyle w:val="Heading1"/>
              <w:spacing w:before="60" w:after="60"/>
              <w:ind w:right="183"/>
              <w:contextualSpacing/>
              <w:rPr>
                <w:rFonts w:ascii="Arial" w:hAnsi="Arial" w:cs="Arial"/>
                <w:noProof/>
                <w:sz w:val="22"/>
                <w:szCs w:val="22"/>
                <w:lang w:eastAsia="en-GB"/>
              </w:rPr>
            </w:pPr>
          </w:p>
        </w:tc>
      </w:tr>
      <w:tr w:rsidR="003263F1" w:rsidRPr="007A368B" w:rsidTr="00E17AD3">
        <w:trPr>
          <w:trHeight w:val="499"/>
        </w:trPr>
        <w:tc>
          <w:tcPr>
            <w:tcW w:w="2557" w:type="dxa"/>
          </w:tcPr>
          <w:p w:rsidR="003263F1" w:rsidRPr="007A368B" w:rsidRDefault="003263F1" w:rsidP="00E17AD3">
            <w:pPr>
              <w:pStyle w:val="Heading1"/>
              <w:spacing w:before="120" w:after="60"/>
              <w:ind w:right="183"/>
              <w:contextualSpacing/>
              <w:rPr>
                <w:rFonts w:ascii="Arial" w:hAnsi="Arial" w:cs="Arial"/>
                <w:sz w:val="22"/>
                <w:szCs w:val="22"/>
              </w:rPr>
            </w:pPr>
            <w:r w:rsidRPr="007A368B">
              <w:rPr>
                <w:rFonts w:ascii="Arial" w:hAnsi="Arial" w:cs="Arial"/>
                <w:bCs w:val="0"/>
                <w:sz w:val="22"/>
                <w:szCs w:val="22"/>
              </w:rPr>
              <w:t>Recommendation:</w:t>
            </w:r>
            <w:r w:rsidRPr="007A368B">
              <w:rPr>
                <w:rFonts w:ascii="Arial" w:hAnsi="Arial" w:cs="Arial"/>
                <w:bCs w:val="0"/>
                <w:sz w:val="22"/>
                <w:szCs w:val="22"/>
              </w:rPr>
              <w:tab/>
            </w:r>
          </w:p>
        </w:tc>
        <w:tc>
          <w:tcPr>
            <w:tcW w:w="6799" w:type="dxa"/>
            <w:gridSpan w:val="2"/>
          </w:tcPr>
          <w:p w:rsidR="003263F1" w:rsidRPr="007A368B" w:rsidRDefault="003263F1" w:rsidP="00E17AD3">
            <w:pPr>
              <w:pStyle w:val="Heading1"/>
              <w:spacing w:before="120" w:after="60"/>
              <w:ind w:right="183"/>
              <w:contextualSpacing/>
              <w:rPr>
                <w:rFonts w:ascii="Arial" w:hAnsi="Arial" w:cs="Arial"/>
                <w:b w:val="0"/>
                <w:sz w:val="22"/>
                <w:szCs w:val="22"/>
              </w:rPr>
            </w:pPr>
            <w:r w:rsidRPr="007A368B">
              <w:rPr>
                <w:rFonts w:ascii="Arial" w:hAnsi="Arial" w:cs="Arial"/>
                <w:b w:val="0"/>
                <w:sz w:val="22"/>
                <w:szCs w:val="22"/>
              </w:rPr>
              <w:t>Board members are asked to:</w:t>
            </w:r>
          </w:p>
          <w:p w:rsidR="00A51A3E" w:rsidRPr="007A368B" w:rsidRDefault="00A51A3E" w:rsidP="00E17AD3">
            <w:pPr>
              <w:rPr>
                <w:rFonts w:ascii="Arial" w:hAnsi="Arial" w:cs="Arial"/>
                <w:sz w:val="22"/>
                <w:szCs w:val="22"/>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3263F1" w:rsidRPr="007A368B" w:rsidTr="00F60E38">
              <w:tc>
                <w:tcPr>
                  <w:tcW w:w="5694" w:type="dxa"/>
                </w:tcPr>
                <w:p w:rsidR="003263F1" w:rsidRPr="007A368B" w:rsidRDefault="003263F1" w:rsidP="008351D0">
                  <w:pPr>
                    <w:pStyle w:val="Heading1"/>
                    <w:framePr w:hSpace="180" w:wrap="around" w:hAnchor="margin" w:y="-450"/>
                    <w:ind w:right="183"/>
                    <w:contextualSpacing/>
                    <w:rPr>
                      <w:rFonts w:ascii="Arial" w:hAnsi="Arial" w:cs="Arial"/>
                      <w:b w:val="0"/>
                      <w:sz w:val="22"/>
                      <w:szCs w:val="22"/>
                    </w:rPr>
                  </w:pPr>
                  <w:r w:rsidRPr="007A368B">
                    <w:rPr>
                      <w:rFonts w:ascii="Arial" w:hAnsi="Arial" w:cs="Arial"/>
                      <w:b w:val="0"/>
                      <w:sz w:val="22"/>
                      <w:szCs w:val="22"/>
                    </w:rPr>
                    <w:t>Discuss and Note</w:t>
                  </w:r>
                </w:p>
              </w:tc>
              <w:tc>
                <w:tcPr>
                  <w:tcW w:w="850" w:type="dxa"/>
                </w:tcPr>
                <w:p w:rsidR="003263F1" w:rsidRPr="007A368B" w:rsidRDefault="008B1814" w:rsidP="008351D0">
                  <w:pPr>
                    <w:framePr w:hSpace="180" w:wrap="around" w:hAnchor="margin" w:y="-450"/>
                    <w:contextualSpacing/>
                    <w:rPr>
                      <w:rFonts w:ascii="Arial" w:hAnsi="Arial" w:cs="Arial"/>
                      <w:sz w:val="22"/>
                      <w:szCs w:val="22"/>
                    </w:rPr>
                  </w:pPr>
                  <w:r w:rsidRPr="007A368B">
                    <w:rPr>
                      <w:rFonts w:ascii="Arial" w:hAnsi="Arial" w:cs="Arial"/>
                      <w:sz w:val="22"/>
                      <w:szCs w:val="22"/>
                    </w:rPr>
                    <w:t>X</w:t>
                  </w:r>
                </w:p>
              </w:tc>
            </w:tr>
            <w:tr w:rsidR="003263F1" w:rsidRPr="007A368B" w:rsidTr="00F60E38">
              <w:trPr>
                <w:trHeight w:val="280"/>
              </w:trPr>
              <w:tc>
                <w:tcPr>
                  <w:tcW w:w="5694" w:type="dxa"/>
                </w:tcPr>
                <w:p w:rsidR="003263F1" w:rsidRPr="007A368B" w:rsidRDefault="003263F1" w:rsidP="008351D0">
                  <w:pPr>
                    <w:pStyle w:val="Heading1"/>
                    <w:framePr w:hSpace="180" w:wrap="around" w:hAnchor="margin" w:y="-450"/>
                    <w:ind w:right="183"/>
                    <w:contextualSpacing/>
                    <w:rPr>
                      <w:rFonts w:ascii="Arial" w:hAnsi="Arial" w:cs="Arial"/>
                      <w:b w:val="0"/>
                      <w:sz w:val="22"/>
                      <w:szCs w:val="22"/>
                    </w:rPr>
                  </w:pPr>
                  <w:r w:rsidRPr="007A368B">
                    <w:rPr>
                      <w:rFonts w:ascii="Arial" w:hAnsi="Arial" w:cs="Arial"/>
                      <w:b w:val="0"/>
                      <w:sz w:val="22"/>
                      <w:szCs w:val="22"/>
                    </w:rPr>
                    <w:t>Discuss and Approve</w:t>
                  </w:r>
                </w:p>
              </w:tc>
              <w:tc>
                <w:tcPr>
                  <w:tcW w:w="850" w:type="dxa"/>
                </w:tcPr>
                <w:p w:rsidR="003263F1" w:rsidRPr="007A368B" w:rsidRDefault="003263F1" w:rsidP="008351D0">
                  <w:pPr>
                    <w:framePr w:hSpace="180" w:wrap="around" w:hAnchor="margin" w:y="-450"/>
                    <w:contextualSpacing/>
                    <w:rPr>
                      <w:rFonts w:ascii="Arial" w:hAnsi="Arial" w:cs="Arial"/>
                      <w:sz w:val="22"/>
                      <w:szCs w:val="22"/>
                    </w:rPr>
                  </w:pPr>
                </w:p>
              </w:tc>
            </w:tr>
            <w:tr w:rsidR="003263F1" w:rsidRPr="007A368B" w:rsidTr="00F60E38">
              <w:tc>
                <w:tcPr>
                  <w:tcW w:w="5694" w:type="dxa"/>
                </w:tcPr>
                <w:p w:rsidR="003263F1" w:rsidRPr="007A368B" w:rsidRDefault="003263F1" w:rsidP="008351D0">
                  <w:pPr>
                    <w:pStyle w:val="Heading1"/>
                    <w:framePr w:hSpace="180" w:wrap="around" w:hAnchor="margin" w:y="-450"/>
                    <w:ind w:right="183"/>
                    <w:contextualSpacing/>
                    <w:rPr>
                      <w:rFonts w:ascii="Arial" w:hAnsi="Arial" w:cs="Arial"/>
                      <w:b w:val="0"/>
                      <w:sz w:val="22"/>
                      <w:szCs w:val="22"/>
                    </w:rPr>
                  </w:pPr>
                  <w:r w:rsidRPr="007A368B">
                    <w:rPr>
                      <w:rFonts w:ascii="Arial" w:hAnsi="Arial" w:cs="Arial"/>
                      <w:b w:val="0"/>
                      <w:sz w:val="22"/>
                      <w:szCs w:val="22"/>
                    </w:rPr>
                    <w:t>Note for Information only</w:t>
                  </w:r>
                </w:p>
              </w:tc>
              <w:tc>
                <w:tcPr>
                  <w:tcW w:w="850" w:type="dxa"/>
                </w:tcPr>
                <w:p w:rsidR="003263F1" w:rsidRPr="007A368B" w:rsidRDefault="003263F1" w:rsidP="008351D0">
                  <w:pPr>
                    <w:framePr w:hSpace="180" w:wrap="around" w:hAnchor="margin" w:y="-450"/>
                    <w:contextualSpacing/>
                    <w:rPr>
                      <w:rFonts w:ascii="Arial" w:hAnsi="Arial" w:cs="Arial"/>
                      <w:sz w:val="22"/>
                      <w:szCs w:val="22"/>
                    </w:rPr>
                  </w:pPr>
                </w:p>
              </w:tc>
            </w:tr>
          </w:tbl>
          <w:p w:rsidR="003263F1" w:rsidRPr="007A368B" w:rsidRDefault="003263F1" w:rsidP="00E17AD3">
            <w:pPr>
              <w:spacing w:before="120" w:after="60"/>
              <w:contextualSpacing/>
              <w:rPr>
                <w:rFonts w:ascii="Arial" w:hAnsi="Arial" w:cs="Arial"/>
                <w:sz w:val="22"/>
                <w:szCs w:val="22"/>
              </w:rPr>
            </w:pPr>
          </w:p>
        </w:tc>
      </w:tr>
    </w:tbl>
    <w:p w:rsidR="00A2577B" w:rsidRPr="007A368B" w:rsidRDefault="00513DB0" w:rsidP="00720EB3">
      <w:pPr>
        <w:tabs>
          <w:tab w:val="left" w:pos="9192"/>
        </w:tabs>
        <w:ind w:left="-426" w:right="-22"/>
        <w:rPr>
          <w:rFonts w:ascii="Arial" w:hAnsi="Arial" w:cs="Arial"/>
          <w:b/>
          <w:bCs/>
          <w:sz w:val="22"/>
          <w:szCs w:val="22"/>
        </w:rPr>
      </w:pPr>
      <w:r w:rsidRPr="007A368B">
        <w:rPr>
          <w:rFonts w:ascii="Arial" w:hAnsi="Arial" w:cs="Arial"/>
          <w:b/>
          <w:bCs/>
          <w:sz w:val="22"/>
          <w:szCs w:val="22"/>
        </w:rPr>
        <w:t>________________________________________</w:t>
      </w:r>
      <w:r w:rsidR="00506517" w:rsidRPr="007A368B">
        <w:rPr>
          <w:rFonts w:ascii="Arial" w:hAnsi="Arial" w:cs="Arial"/>
          <w:b/>
          <w:bCs/>
          <w:sz w:val="22"/>
          <w:szCs w:val="22"/>
        </w:rPr>
        <w:t>_____________________________</w:t>
      </w:r>
      <w:r w:rsidR="00AE1BE9" w:rsidRPr="007A368B">
        <w:rPr>
          <w:rFonts w:ascii="Arial" w:hAnsi="Arial" w:cs="Arial"/>
          <w:b/>
          <w:bCs/>
          <w:sz w:val="22"/>
          <w:szCs w:val="22"/>
        </w:rPr>
        <w:t>_</w:t>
      </w:r>
      <w:r w:rsidR="00720EB3" w:rsidRPr="007A368B">
        <w:rPr>
          <w:rFonts w:ascii="Arial" w:hAnsi="Arial" w:cs="Arial"/>
          <w:b/>
          <w:bCs/>
          <w:sz w:val="22"/>
          <w:szCs w:val="22"/>
        </w:rPr>
        <w:t>_</w:t>
      </w:r>
    </w:p>
    <w:p w:rsidR="001175E5" w:rsidRPr="007A368B" w:rsidRDefault="001175E5" w:rsidP="00506517">
      <w:pPr>
        <w:pStyle w:val="Heading2"/>
        <w:ind w:left="-426" w:right="183"/>
        <w:rPr>
          <w:i w:val="0"/>
          <w:sz w:val="22"/>
          <w:szCs w:val="22"/>
        </w:rPr>
      </w:pPr>
      <w:r w:rsidRPr="007A368B">
        <w:rPr>
          <w:i w:val="0"/>
          <w:sz w:val="22"/>
          <w:szCs w:val="22"/>
        </w:rPr>
        <w:t>1</w:t>
      </w:r>
      <w:r w:rsidRPr="007A368B">
        <w:rPr>
          <w:i w:val="0"/>
          <w:sz w:val="22"/>
          <w:szCs w:val="22"/>
        </w:rPr>
        <w:tab/>
        <w:t>Background</w:t>
      </w:r>
    </w:p>
    <w:p w:rsidR="006D232B" w:rsidRPr="007A368B" w:rsidRDefault="001175E5" w:rsidP="00506517">
      <w:pPr>
        <w:ind w:left="-426" w:right="183"/>
        <w:rPr>
          <w:rFonts w:ascii="Arial" w:hAnsi="Arial" w:cs="Arial"/>
          <w:b/>
          <w:bCs/>
          <w:sz w:val="22"/>
          <w:szCs w:val="22"/>
        </w:rPr>
      </w:pPr>
      <w:r w:rsidRPr="007A368B">
        <w:rPr>
          <w:rFonts w:ascii="Arial" w:hAnsi="Arial" w:cs="Arial"/>
          <w:b/>
          <w:bCs/>
          <w:sz w:val="22"/>
          <w:szCs w:val="22"/>
        </w:rPr>
        <w:tab/>
      </w:r>
    </w:p>
    <w:p w:rsidR="006D232B" w:rsidRPr="007A368B" w:rsidRDefault="006D232B" w:rsidP="00506517">
      <w:pPr>
        <w:rPr>
          <w:rFonts w:ascii="Arial" w:hAnsi="Arial" w:cs="Arial"/>
          <w:sz w:val="22"/>
          <w:szCs w:val="22"/>
        </w:rPr>
      </w:pPr>
      <w:r w:rsidRPr="007A368B">
        <w:rPr>
          <w:rFonts w:ascii="Arial" w:hAnsi="Arial" w:cs="Arial"/>
          <w:sz w:val="22"/>
          <w:szCs w:val="22"/>
        </w:rPr>
        <w:t>The following key points were agreed at the meeting and have been split into the three high level quality ambitions of person centred, safe, and effective.</w:t>
      </w:r>
    </w:p>
    <w:p w:rsidR="0026349B" w:rsidRPr="007A368B" w:rsidRDefault="0026349B" w:rsidP="006421AD">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6349B" w:rsidRPr="007A368B" w:rsidTr="00DA18FB">
        <w:tc>
          <w:tcPr>
            <w:tcW w:w="9322" w:type="dxa"/>
            <w:shd w:val="clear" w:color="auto" w:fill="92CDDC"/>
          </w:tcPr>
          <w:p w:rsidR="0026349B" w:rsidRPr="007A368B" w:rsidRDefault="0026349B" w:rsidP="0026349B">
            <w:pPr>
              <w:tabs>
                <w:tab w:val="center" w:pos="4153"/>
                <w:tab w:val="right" w:pos="8306"/>
              </w:tabs>
              <w:spacing w:before="120" w:after="120"/>
              <w:contextualSpacing/>
              <w:rPr>
                <w:rFonts w:ascii="Arial" w:hAnsi="Arial" w:cs="Arial"/>
                <w:b/>
                <w:color w:val="000000"/>
                <w:sz w:val="22"/>
                <w:szCs w:val="22"/>
              </w:rPr>
            </w:pPr>
            <w:r w:rsidRPr="007A368B">
              <w:rPr>
                <w:rFonts w:ascii="Arial" w:hAnsi="Arial" w:cs="Arial"/>
                <w:b/>
                <w:color w:val="000000"/>
                <w:sz w:val="22"/>
                <w:szCs w:val="22"/>
              </w:rPr>
              <w:t>Person Centred</w:t>
            </w:r>
          </w:p>
        </w:tc>
      </w:tr>
      <w:tr w:rsidR="0026349B" w:rsidRPr="007A368B" w:rsidTr="0026349B">
        <w:tc>
          <w:tcPr>
            <w:tcW w:w="9322" w:type="dxa"/>
            <w:tcBorders>
              <w:bottom w:val="single" w:sz="4" w:space="0" w:color="auto"/>
            </w:tcBorders>
            <w:shd w:val="clear" w:color="auto" w:fill="DAEEF3"/>
          </w:tcPr>
          <w:p w:rsidR="0026349B" w:rsidRPr="007A368B" w:rsidRDefault="0026349B" w:rsidP="0026349B">
            <w:pPr>
              <w:pStyle w:val="ListParagraph"/>
              <w:spacing w:before="120" w:after="120"/>
              <w:ind w:left="0"/>
              <w:contextualSpacing/>
              <w:rPr>
                <w:b/>
                <w:color w:val="000000"/>
                <w:sz w:val="22"/>
                <w:szCs w:val="22"/>
              </w:rPr>
            </w:pPr>
            <w:r w:rsidRPr="007A368B">
              <w:rPr>
                <w:b/>
                <w:color w:val="000000"/>
                <w:sz w:val="22"/>
                <w:szCs w:val="22"/>
              </w:rPr>
              <w:t>Mutually beneficial partnerships between patients, their families and those delivering healthcare services which respect individual needs and values and which demonstrate compassion, continuity, clear communication and shared decision-making.</w:t>
            </w:r>
          </w:p>
        </w:tc>
      </w:tr>
      <w:tr w:rsidR="0026349B" w:rsidRPr="007A368B" w:rsidTr="0026349B">
        <w:tc>
          <w:tcPr>
            <w:tcW w:w="9322" w:type="dxa"/>
            <w:shd w:val="clear" w:color="auto" w:fill="auto"/>
          </w:tcPr>
          <w:p w:rsidR="0026349B" w:rsidRPr="007A368B" w:rsidRDefault="002833B8" w:rsidP="00177F2E">
            <w:pPr>
              <w:pStyle w:val="ListParagraph"/>
              <w:numPr>
                <w:ilvl w:val="0"/>
                <w:numId w:val="17"/>
              </w:numPr>
              <w:spacing w:before="120" w:after="120"/>
              <w:ind w:left="357" w:hanging="357"/>
              <w:rPr>
                <w:color w:val="000000"/>
                <w:sz w:val="22"/>
                <w:szCs w:val="22"/>
              </w:rPr>
            </w:pPr>
            <w:r w:rsidRPr="007A368B">
              <w:rPr>
                <w:b/>
                <w:color w:val="000000"/>
                <w:sz w:val="22"/>
                <w:szCs w:val="22"/>
              </w:rPr>
              <w:t>Final Donations Policy</w:t>
            </w:r>
            <w:r w:rsidR="00EA58FE" w:rsidRPr="007A368B">
              <w:rPr>
                <w:color w:val="000000"/>
                <w:sz w:val="22"/>
                <w:szCs w:val="22"/>
              </w:rPr>
              <w:br/>
              <w:t>It</w:t>
            </w:r>
            <w:r w:rsidR="00087782" w:rsidRPr="007A368B">
              <w:rPr>
                <w:color w:val="000000"/>
                <w:sz w:val="22"/>
                <w:szCs w:val="22"/>
              </w:rPr>
              <w:t xml:space="preserve"> was agreed that the donations policy </w:t>
            </w:r>
            <w:r w:rsidR="00EA58FE" w:rsidRPr="007A368B">
              <w:rPr>
                <w:color w:val="000000"/>
                <w:sz w:val="22"/>
                <w:szCs w:val="22"/>
              </w:rPr>
              <w:t xml:space="preserve">for the charity </w:t>
            </w:r>
            <w:r w:rsidR="00087782" w:rsidRPr="007A368B">
              <w:rPr>
                <w:color w:val="000000"/>
                <w:sz w:val="22"/>
                <w:szCs w:val="22"/>
              </w:rPr>
              <w:t>would be refreshed</w:t>
            </w:r>
            <w:r w:rsidR="00C04A0D" w:rsidRPr="007A368B">
              <w:rPr>
                <w:color w:val="000000"/>
                <w:sz w:val="22"/>
                <w:szCs w:val="22"/>
              </w:rPr>
              <w:t xml:space="preserve"> and completed</w:t>
            </w:r>
            <w:r w:rsidR="00EA58FE" w:rsidRPr="007A368B">
              <w:rPr>
                <w:color w:val="000000"/>
                <w:sz w:val="22"/>
                <w:szCs w:val="22"/>
              </w:rPr>
              <w:t xml:space="preserve"> </w:t>
            </w:r>
            <w:r w:rsidR="007C3BDC" w:rsidRPr="007A368B">
              <w:rPr>
                <w:color w:val="000000"/>
                <w:sz w:val="22"/>
                <w:szCs w:val="22"/>
              </w:rPr>
              <w:t xml:space="preserve">to include strategic intent and </w:t>
            </w:r>
            <w:r w:rsidR="00EA58FE" w:rsidRPr="007A368B">
              <w:rPr>
                <w:color w:val="000000"/>
                <w:sz w:val="22"/>
                <w:szCs w:val="22"/>
              </w:rPr>
              <w:t>circulated to members</w:t>
            </w:r>
            <w:r w:rsidR="007A368B" w:rsidRPr="007A368B">
              <w:rPr>
                <w:color w:val="000000"/>
                <w:sz w:val="22"/>
                <w:szCs w:val="22"/>
              </w:rPr>
              <w:t xml:space="preserve"> by end of December for comment</w:t>
            </w:r>
            <w:r w:rsidR="00EA58FE" w:rsidRPr="007A368B">
              <w:rPr>
                <w:color w:val="000000"/>
                <w:sz w:val="22"/>
                <w:szCs w:val="22"/>
              </w:rPr>
              <w:t xml:space="preserve"> approval then </w:t>
            </w:r>
            <w:r w:rsidR="007C3BDC" w:rsidRPr="007A368B">
              <w:rPr>
                <w:color w:val="000000"/>
                <w:sz w:val="22"/>
                <w:szCs w:val="22"/>
              </w:rPr>
              <w:t>presented to the next committee meeting for ratification.</w:t>
            </w:r>
          </w:p>
          <w:p w:rsidR="001827CC" w:rsidRPr="007A368B" w:rsidRDefault="002833B8" w:rsidP="007A368B">
            <w:pPr>
              <w:pStyle w:val="ListParagraph"/>
              <w:numPr>
                <w:ilvl w:val="0"/>
                <w:numId w:val="17"/>
              </w:numPr>
              <w:spacing w:before="120" w:after="120"/>
              <w:ind w:left="357" w:hanging="357"/>
              <w:rPr>
                <w:color w:val="000000"/>
                <w:sz w:val="22"/>
                <w:szCs w:val="22"/>
              </w:rPr>
            </w:pPr>
            <w:r w:rsidRPr="007A368B">
              <w:rPr>
                <w:b/>
                <w:color w:val="000000"/>
                <w:sz w:val="22"/>
                <w:szCs w:val="22"/>
              </w:rPr>
              <w:t>S</w:t>
            </w:r>
            <w:r w:rsidR="00087782" w:rsidRPr="007A368B">
              <w:rPr>
                <w:b/>
                <w:color w:val="000000"/>
                <w:sz w:val="22"/>
                <w:szCs w:val="22"/>
              </w:rPr>
              <w:t xml:space="preserve">ervice Level Agreement </w:t>
            </w:r>
            <w:r w:rsidRPr="007A368B">
              <w:rPr>
                <w:b/>
                <w:color w:val="000000"/>
                <w:sz w:val="22"/>
                <w:szCs w:val="22"/>
              </w:rPr>
              <w:t>Review with Greater Glasgow and Clyde</w:t>
            </w:r>
            <w:r w:rsidR="00EA58FE" w:rsidRPr="007A368B">
              <w:rPr>
                <w:b/>
                <w:color w:val="000000"/>
                <w:sz w:val="22"/>
                <w:szCs w:val="22"/>
              </w:rPr>
              <w:br/>
            </w:r>
            <w:r w:rsidR="00EA58FE" w:rsidRPr="007A368B">
              <w:rPr>
                <w:color w:val="000000"/>
                <w:sz w:val="22"/>
                <w:szCs w:val="22"/>
              </w:rPr>
              <w:t xml:space="preserve">An SLA is in place </w:t>
            </w:r>
            <w:r w:rsidR="0048318F" w:rsidRPr="007A368B">
              <w:rPr>
                <w:color w:val="000000"/>
                <w:sz w:val="22"/>
                <w:szCs w:val="22"/>
              </w:rPr>
              <w:t>for the s</w:t>
            </w:r>
            <w:r w:rsidR="00801D0E" w:rsidRPr="007A368B">
              <w:rPr>
                <w:color w:val="000000"/>
                <w:sz w:val="22"/>
                <w:szCs w:val="22"/>
              </w:rPr>
              <w:t>ervices of GG&amp;C investment managers</w:t>
            </w:r>
            <w:r w:rsidR="00EA58FE" w:rsidRPr="007A368B">
              <w:rPr>
                <w:color w:val="000000"/>
                <w:sz w:val="22"/>
                <w:szCs w:val="22"/>
              </w:rPr>
              <w:t xml:space="preserve"> </w:t>
            </w:r>
            <w:r w:rsidR="0048318F" w:rsidRPr="007A368B">
              <w:rPr>
                <w:color w:val="000000"/>
                <w:sz w:val="22"/>
                <w:szCs w:val="22"/>
              </w:rPr>
              <w:t xml:space="preserve">to act </w:t>
            </w:r>
            <w:r w:rsidR="00EA58FE" w:rsidRPr="007A368B">
              <w:rPr>
                <w:color w:val="000000"/>
                <w:sz w:val="22"/>
                <w:szCs w:val="22"/>
              </w:rPr>
              <w:t xml:space="preserve">on our behalf, this </w:t>
            </w:r>
            <w:r w:rsidR="00087782" w:rsidRPr="007A368B">
              <w:rPr>
                <w:color w:val="000000"/>
                <w:sz w:val="22"/>
                <w:szCs w:val="22"/>
              </w:rPr>
              <w:t xml:space="preserve">SLA will be formalised to provide assurance </w:t>
            </w:r>
            <w:r w:rsidR="007C3BDC" w:rsidRPr="007A368B">
              <w:rPr>
                <w:color w:val="000000"/>
                <w:sz w:val="22"/>
                <w:szCs w:val="22"/>
              </w:rPr>
              <w:t xml:space="preserve">to the Committee </w:t>
            </w:r>
            <w:r w:rsidR="00087782" w:rsidRPr="007A368B">
              <w:rPr>
                <w:color w:val="000000"/>
                <w:sz w:val="22"/>
                <w:szCs w:val="22"/>
              </w:rPr>
              <w:t xml:space="preserve">that </w:t>
            </w:r>
            <w:r w:rsidR="001827CC" w:rsidRPr="007A368B">
              <w:rPr>
                <w:color w:val="000000"/>
                <w:sz w:val="22"/>
                <w:szCs w:val="22"/>
              </w:rPr>
              <w:t>appropriate</w:t>
            </w:r>
            <w:r w:rsidR="00EA58FE" w:rsidRPr="007A368B">
              <w:rPr>
                <w:color w:val="000000"/>
                <w:sz w:val="22"/>
                <w:szCs w:val="22"/>
              </w:rPr>
              <w:t xml:space="preserve"> and </w:t>
            </w:r>
            <w:r w:rsidR="001827CC" w:rsidRPr="007A368B">
              <w:rPr>
                <w:color w:val="000000"/>
                <w:sz w:val="22"/>
                <w:szCs w:val="22"/>
              </w:rPr>
              <w:t xml:space="preserve">robust </w:t>
            </w:r>
            <w:r w:rsidR="00087782" w:rsidRPr="007A368B">
              <w:rPr>
                <w:color w:val="000000"/>
                <w:sz w:val="22"/>
                <w:szCs w:val="22"/>
              </w:rPr>
              <w:t xml:space="preserve">governance is in place </w:t>
            </w:r>
            <w:r w:rsidR="001827CC" w:rsidRPr="007A368B">
              <w:rPr>
                <w:color w:val="000000"/>
                <w:sz w:val="22"/>
                <w:szCs w:val="22"/>
              </w:rPr>
              <w:t>to</w:t>
            </w:r>
            <w:r w:rsidR="00087782" w:rsidRPr="007A368B">
              <w:rPr>
                <w:color w:val="000000"/>
                <w:sz w:val="22"/>
                <w:szCs w:val="22"/>
              </w:rPr>
              <w:t xml:space="preserve"> ensure the Foundations best intentions are met</w:t>
            </w:r>
            <w:r w:rsidR="001827CC" w:rsidRPr="007A368B">
              <w:rPr>
                <w:color w:val="000000"/>
                <w:sz w:val="22"/>
                <w:szCs w:val="22"/>
              </w:rPr>
              <w:t xml:space="preserve"> </w:t>
            </w:r>
            <w:r w:rsidR="007C3BDC" w:rsidRPr="007A368B">
              <w:rPr>
                <w:color w:val="000000"/>
                <w:sz w:val="22"/>
                <w:szCs w:val="22"/>
              </w:rPr>
              <w:t xml:space="preserve">in regard to investment criteria. Also it was agreed that </w:t>
            </w:r>
            <w:r w:rsidR="001827CC" w:rsidRPr="007A368B">
              <w:rPr>
                <w:color w:val="000000"/>
                <w:sz w:val="22"/>
                <w:szCs w:val="22"/>
              </w:rPr>
              <w:t>an annual report from the invest</w:t>
            </w:r>
            <w:r w:rsidR="00C04A0D" w:rsidRPr="007A368B">
              <w:rPr>
                <w:color w:val="000000"/>
                <w:sz w:val="22"/>
                <w:szCs w:val="22"/>
              </w:rPr>
              <w:t>ment managers</w:t>
            </w:r>
            <w:r w:rsidR="001827CC" w:rsidRPr="007A368B">
              <w:rPr>
                <w:color w:val="000000"/>
                <w:sz w:val="22"/>
                <w:szCs w:val="22"/>
              </w:rPr>
              <w:t xml:space="preserve"> </w:t>
            </w:r>
            <w:r w:rsidR="00EA58FE" w:rsidRPr="007A368B">
              <w:rPr>
                <w:color w:val="000000"/>
                <w:sz w:val="22"/>
                <w:szCs w:val="22"/>
              </w:rPr>
              <w:t xml:space="preserve">should </w:t>
            </w:r>
            <w:r w:rsidR="007C3BDC" w:rsidRPr="007A368B">
              <w:rPr>
                <w:color w:val="000000"/>
                <w:sz w:val="22"/>
                <w:szCs w:val="22"/>
              </w:rPr>
              <w:t xml:space="preserve">be made </w:t>
            </w:r>
            <w:r w:rsidR="001827CC" w:rsidRPr="007A368B">
              <w:rPr>
                <w:color w:val="000000"/>
                <w:sz w:val="22"/>
                <w:szCs w:val="22"/>
              </w:rPr>
              <w:t>available to the committee</w:t>
            </w:r>
            <w:r w:rsidR="007C3BDC" w:rsidRPr="007A368B">
              <w:rPr>
                <w:color w:val="000000"/>
                <w:sz w:val="22"/>
                <w:szCs w:val="22"/>
              </w:rPr>
              <w:t>.</w:t>
            </w:r>
          </w:p>
        </w:tc>
      </w:tr>
      <w:tr w:rsidR="0026349B" w:rsidRPr="007A368B" w:rsidTr="00DA18FB">
        <w:tc>
          <w:tcPr>
            <w:tcW w:w="9322" w:type="dxa"/>
            <w:shd w:val="clear" w:color="auto" w:fill="92CDDC"/>
          </w:tcPr>
          <w:p w:rsidR="0026349B" w:rsidRPr="007A368B" w:rsidRDefault="0026349B" w:rsidP="0026349B">
            <w:pPr>
              <w:tabs>
                <w:tab w:val="center" w:pos="4153"/>
                <w:tab w:val="right" w:pos="8306"/>
              </w:tabs>
              <w:spacing w:before="120" w:after="120"/>
              <w:contextualSpacing/>
              <w:rPr>
                <w:rFonts w:ascii="Arial" w:hAnsi="Arial" w:cs="Arial"/>
                <w:b/>
                <w:color w:val="000000"/>
                <w:sz w:val="22"/>
                <w:szCs w:val="22"/>
              </w:rPr>
            </w:pPr>
            <w:r w:rsidRPr="007A368B">
              <w:rPr>
                <w:rFonts w:ascii="Arial" w:hAnsi="Arial" w:cs="Arial"/>
                <w:b/>
                <w:color w:val="000000"/>
                <w:sz w:val="22"/>
                <w:szCs w:val="22"/>
              </w:rPr>
              <w:t>Safe</w:t>
            </w:r>
          </w:p>
        </w:tc>
      </w:tr>
      <w:tr w:rsidR="0026349B" w:rsidRPr="007A368B" w:rsidTr="0026349B">
        <w:tc>
          <w:tcPr>
            <w:tcW w:w="9322" w:type="dxa"/>
            <w:tcBorders>
              <w:bottom w:val="single" w:sz="4" w:space="0" w:color="auto"/>
            </w:tcBorders>
            <w:shd w:val="clear" w:color="auto" w:fill="DAEEF3"/>
          </w:tcPr>
          <w:p w:rsidR="0026349B" w:rsidRPr="007A368B" w:rsidRDefault="0026349B" w:rsidP="0026349B">
            <w:pPr>
              <w:pStyle w:val="ListParagraph"/>
              <w:spacing w:before="120" w:after="120"/>
              <w:ind w:left="0"/>
              <w:contextualSpacing/>
              <w:rPr>
                <w:b/>
                <w:color w:val="000000"/>
                <w:sz w:val="22"/>
                <w:szCs w:val="22"/>
              </w:rPr>
            </w:pPr>
            <w:r w:rsidRPr="007A368B">
              <w:rPr>
                <w:b/>
                <w:color w:val="000000"/>
                <w:sz w:val="22"/>
                <w:szCs w:val="22"/>
              </w:rPr>
              <w:t>There will be no avoidable injury or harm to people from healthcare they receive, and an appropriate, clean and safe environment will be provided for the delivery of healthcare services at all times.</w:t>
            </w:r>
          </w:p>
        </w:tc>
      </w:tr>
      <w:tr w:rsidR="0026349B" w:rsidRPr="007A368B" w:rsidTr="0026349B">
        <w:tc>
          <w:tcPr>
            <w:tcW w:w="9322" w:type="dxa"/>
            <w:shd w:val="clear" w:color="auto" w:fill="auto"/>
          </w:tcPr>
          <w:p w:rsidR="002833B8" w:rsidRPr="007A368B" w:rsidRDefault="002833B8" w:rsidP="002833B8">
            <w:pPr>
              <w:pStyle w:val="ListParagraph"/>
              <w:numPr>
                <w:ilvl w:val="0"/>
                <w:numId w:val="21"/>
              </w:numPr>
              <w:ind w:left="426" w:hanging="426"/>
              <w:rPr>
                <w:color w:val="000000"/>
                <w:sz w:val="22"/>
                <w:szCs w:val="22"/>
              </w:rPr>
            </w:pPr>
            <w:r w:rsidRPr="007A368B">
              <w:rPr>
                <w:b/>
                <w:color w:val="000000"/>
                <w:sz w:val="22"/>
                <w:szCs w:val="22"/>
              </w:rPr>
              <w:t>Innovation Fund</w:t>
            </w:r>
            <w:r w:rsidR="0048318F" w:rsidRPr="007A368B">
              <w:rPr>
                <w:color w:val="000000"/>
                <w:sz w:val="22"/>
                <w:szCs w:val="22"/>
              </w:rPr>
              <w:br/>
              <w:t>T</w:t>
            </w:r>
            <w:r w:rsidR="001827CC" w:rsidRPr="007A368B">
              <w:rPr>
                <w:color w:val="000000"/>
                <w:sz w:val="22"/>
                <w:szCs w:val="22"/>
              </w:rPr>
              <w:t xml:space="preserve">he  committee received an update on innovation funds which have significantly grown since last year, there was lengthy discussion around </w:t>
            </w:r>
            <w:r w:rsidR="00053528" w:rsidRPr="007A368B">
              <w:rPr>
                <w:color w:val="000000"/>
                <w:sz w:val="22"/>
                <w:szCs w:val="22"/>
              </w:rPr>
              <w:t xml:space="preserve">innovation funds </w:t>
            </w:r>
            <w:r w:rsidR="001827CC" w:rsidRPr="007A368B">
              <w:rPr>
                <w:color w:val="000000"/>
                <w:sz w:val="22"/>
                <w:szCs w:val="22"/>
              </w:rPr>
              <w:t xml:space="preserve">and clarification was provided </w:t>
            </w:r>
            <w:r w:rsidR="00053528" w:rsidRPr="007A368B">
              <w:rPr>
                <w:color w:val="000000"/>
                <w:sz w:val="22"/>
                <w:szCs w:val="22"/>
              </w:rPr>
              <w:t>between</w:t>
            </w:r>
            <w:r w:rsidR="001827CC" w:rsidRPr="007A368B">
              <w:rPr>
                <w:color w:val="000000"/>
                <w:sz w:val="22"/>
                <w:szCs w:val="22"/>
              </w:rPr>
              <w:t xml:space="preserve"> </w:t>
            </w:r>
            <w:r w:rsidR="0048318F" w:rsidRPr="007A368B">
              <w:rPr>
                <w:color w:val="000000"/>
                <w:sz w:val="22"/>
                <w:szCs w:val="22"/>
              </w:rPr>
              <w:t xml:space="preserve">Scottish Government’s </w:t>
            </w:r>
            <w:r w:rsidR="001827CC" w:rsidRPr="007A368B">
              <w:rPr>
                <w:color w:val="000000"/>
                <w:sz w:val="22"/>
                <w:szCs w:val="22"/>
              </w:rPr>
              <w:t xml:space="preserve">innovation funds and </w:t>
            </w:r>
            <w:r w:rsidR="0091291A" w:rsidRPr="007A368B">
              <w:rPr>
                <w:color w:val="000000"/>
                <w:sz w:val="22"/>
                <w:szCs w:val="22"/>
              </w:rPr>
              <w:t>charitable funds.</w:t>
            </w:r>
            <w:r w:rsidR="00053528" w:rsidRPr="007A368B">
              <w:rPr>
                <w:color w:val="000000"/>
                <w:sz w:val="22"/>
                <w:szCs w:val="22"/>
              </w:rPr>
              <w:t xml:space="preserve"> It was agreed that the Innovation Lead from Scottish Government </w:t>
            </w:r>
            <w:r w:rsidR="00C04A0D" w:rsidRPr="007A368B">
              <w:rPr>
                <w:color w:val="000000"/>
                <w:sz w:val="22"/>
                <w:szCs w:val="22"/>
              </w:rPr>
              <w:t>will</w:t>
            </w:r>
            <w:r w:rsidR="00053528" w:rsidRPr="007A368B">
              <w:rPr>
                <w:color w:val="000000"/>
                <w:sz w:val="22"/>
                <w:szCs w:val="22"/>
              </w:rPr>
              <w:t xml:space="preserve"> be invited to the next committee meeting to provide an update on each innovation project.</w:t>
            </w:r>
            <w:r w:rsidR="001827CC" w:rsidRPr="007A368B">
              <w:rPr>
                <w:color w:val="000000"/>
                <w:sz w:val="22"/>
                <w:szCs w:val="22"/>
              </w:rPr>
              <w:br/>
            </w:r>
            <w:r w:rsidR="007C3BDC" w:rsidRPr="007A368B">
              <w:rPr>
                <w:color w:val="000000"/>
                <w:sz w:val="22"/>
                <w:szCs w:val="22"/>
              </w:rPr>
              <w:t xml:space="preserve">Members </w:t>
            </w:r>
            <w:r w:rsidR="00053528" w:rsidRPr="007A368B">
              <w:rPr>
                <w:color w:val="000000"/>
                <w:sz w:val="22"/>
                <w:szCs w:val="22"/>
              </w:rPr>
              <w:t xml:space="preserve">were content to accept </w:t>
            </w:r>
            <w:r w:rsidR="0048318F" w:rsidRPr="007A368B">
              <w:rPr>
                <w:color w:val="000000"/>
                <w:sz w:val="22"/>
                <w:szCs w:val="22"/>
              </w:rPr>
              <w:t xml:space="preserve">additional </w:t>
            </w:r>
            <w:r w:rsidR="007C3BDC" w:rsidRPr="007A368B">
              <w:rPr>
                <w:color w:val="000000"/>
                <w:sz w:val="22"/>
                <w:szCs w:val="22"/>
              </w:rPr>
              <w:t>fund</w:t>
            </w:r>
            <w:r w:rsidR="0048318F" w:rsidRPr="007A368B">
              <w:rPr>
                <w:color w:val="000000"/>
                <w:sz w:val="22"/>
                <w:szCs w:val="22"/>
              </w:rPr>
              <w:t>s</w:t>
            </w:r>
            <w:r w:rsidR="007C3BDC" w:rsidRPr="007A368B">
              <w:rPr>
                <w:color w:val="000000"/>
                <w:sz w:val="22"/>
                <w:szCs w:val="22"/>
              </w:rPr>
              <w:t xml:space="preserve"> from Scottish Government for </w:t>
            </w:r>
            <w:r w:rsidR="0048318F" w:rsidRPr="007A368B">
              <w:rPr>
                <w:sz w:val="22"/>
                <w:szCs w:val="22"/>
              </w:rPr>
              <w:t>Catalyst funding to stimulate projects in key areas</w:t>
            </w:r>
            <w:r w:rsidR="007C3BDC" w:rsidRPr="007A368B">
              <w:rPr>
                <w:color w:val="000000"/>
                <w:sz w:val="22"/>
                <w:szCs w:val="22"/>
              </w:rPr>
              <w:t>.</w:t>
            </w:r>
            <w:r w:rsidR="0048318F" w:rsidRPr="007A368B">
              <w:rPr>
                <w:color w:val="000000"/>
                <w:sz w:val="22"/>
                <w:szCs w:val="22"/>
              </w:rPr>
              <w:t xml:space="preserve"> The Assistant Director of Finance oversees all </w:t>
            </w:r>
            <w:r w:rsidR="00C04A0D" w:rsidRPr="007A368B">
              <w:rPr>
                <w:color w:val="000000"/>
                <w:sz w:val="22"/>
                <w:szCs w:val="22"/>
              </w:rPr>
              <w:t xml:space="preserve">innovation </w:t>
            </w:r>
            <w:r w:rsidR="0048318F" w:rsidRPr="007A368B">
              <w:rPr>
                <w:color w:val="000000"/>
                <w:sz w:val="22"/>
                <w:szCs w:val="22"/>
              </w:rPr>
              <w:t>projects and ensures that robust processes are followed for each project.</w:t>
            </w:r>
            <w:r w:rsidR="00053528" w:rsidRPr="007A368B">
              <w:rPr>
                <w:color w:val="000000"/>
                <w:sz w:val="22"/>
                <w:szCs w:val="22"/>
              </w:rPr>
              <w:t xml:space="preserve"> </w:t>
            </w:r>
            <w:r w:rsidR="00474E87" w:rsidRPr="007A368B">
              <w:rPr>
                <w:color w:val="000000"/>
                <w:sz w:val="22"/>
                <w:szCs w:val="22"/>
              </w:rPr>
              <w:t xml:space="preserve"> It was agreed that oversight from this committee of the forthcoming funds associated with the Innovation funds should be in place to gain assurance on the nature of the projects prior to the receipt of new project funds.</w:t>
            </w:r>
            <w:r w:rsidR="00474E87" w:rsidRPr="007A368B">
              <w:rPr>
                <w:color w:val="000000"/>
                <w:sz w:val="22"/>
                <w:szCs w:val="22"/>
              </w:rPr>
              <w:br/>
              <w:t xml:space="preserve">Governance arrangements </w:t>
            </w:r>
            <w:r w:rsidR="008351D0" w:rsidRPr="007A368B">
              <w:rPr>
                <w:color w:val="000000"/>
                <w:sz w:val="22"/>
                <w:szCs w:val="22"/>
              </w:rPr>
              <w:t>will</w:t>
            </w:r>
            <w:r w:rsidR="00474E87" w:rsidRPr="007A368B">
              <w:rPr>
                <w:color w:val="000000"/>
                <w:sz w:val="22"/>
                <w:szCs w:val="22"/>
              </w:rPr>
              <w:t xml:space="preserve"> be reviewed going forward for Innovation funding.</w:t>
            </w:r>
            <w:r w:rsidR="00053528" w:rsidRPr="007A368B">
              <w:rPr>
                <w:color w:val="000000"/>
                <w:sz w:val="22"/>
                <w:szCs w:val="22"/>
              </w:rPr>
              <w:br/>
            </w:r>
          </w:p>
          <w:p w:rsidR="00FD0378" w:rsidRPr="007A368B" w:rsidRDefault="002833B8" w:rsidP="00FD0378">
            <w:pPr>
              <w:pStyle w:val="ListParagraph"/>
              <w:numPr>
                <w:ilvl w:val="0"/>
                <w:numId w:val="21"/>
              </w:numPr>
              <w:ind w:left="426" w:hanging="426"/>
              <w:rPr>
                <w:color w:val="000000"/>
                <w:sz w:val="22"/>
                <w:szCs w:val="22"/>
              </w:rPr>
            </w:pPr>
            <w:r w:rsidRPr="007A368B">
              <w:rPr>
                <w:b/>
                <w:sz w:val="22"/>
                <w:szCs w:val="22"/>
                <w:lang w:val="en-US"/>
              </w:rPr>
              <w:t>Update on National Governance of NHS Endowment Fund Review</w:t>
            </w:r>
            <w:r w:rsidR="007C3BDC" w:rsidRPr="007A368B">
              <w:rPr>
                <w:b/>
                <w:sz w:val="22"/>
                <w:szCs w:val="22"/>
                <w:lang w:val="en-US"/>
              </w:rPr>
              <w:t xml:space="preserve"> </w:t>
            </w:r>
            <w:r w:rsidR="0048318F" w:rsidRPr="007A368B">
              <w:rPr>
                <w:b/>
                <w:sz w:val="22"/>
                <w:szCs w:val="22"/>
                <w:lang w:val="en-US"/>
              </w:rPr>
              <w:br/>
            </w:r>
            <w:r w:rsidR="0048318F" w:rsidRPr="007A368B">
              <w:rPr>
                <w:sz w:val="22"/>
                <w:szCs w:val="22"/>
                <w:lang w:val="en-US"/>
              </w:rPr>
              <w:t>T</w:t>
            </w:r>
            <w:r w:rsidR="007C3BDC" w:rsidRPr="007A368B">
              <w:rPr>
                <w:sz w:val="22"/>
                <w:szCs w:val="22"/>
                <w:lang w:val="en-US"/>
              </w:rPr>
              <w:t xml:space="preserve">he committee are awaiting definitive guidance being issued from Scottish Government </w:t>
            </w:r>
            <w:r w:rsidR="00053528" w:rsidRPr="007A368B">
              <w:rPr>
                <w:sz w:val="22"/>
                <w:szCs w:val="22"/>
                <w:lang w:val="en-US"/>
              </w:rPr>
              <w:lastRenderedPageBreak/>
              <w:t xml:space="preserve">on </w:t>
            </w:r>
            <w:r w:rsidR="00FD0378" w:rsidRPr="007A368B">
              <w:rPr>
                <w:sz w:val="22"/>
                <w:szCs w:val="22"/>
              </w:rPr>
              <w:t>strengthening the governance of NHS Endowment Funds</w:t>
            </w:r>
            <w:r w:rsidR="00FD0378" w:rsidRPr="007A368B">
              <w:rPr>
                <w:sz w:val="22"/>
                <w:szCs w:val="22"/>
                <w:lang w:val="en-US"/>
              </w:rPr>
              <w:t xml:space="preserve"> </w:t>
            </w:r>
            <w:r w:rsidR="007C3BDC" w:rsidRPr="007A368B">
              <w:rPr>
                <w:sz w:val="22"/>
                <w:szCs w:val="22"/>
                <w:lang w:val="en-US"/>
              </w:rPr>
              <w:t>which will be shared with members as soon as it is published</w:t>
            </w:r>
            <w:r w:rsidR="00FD0378" w:rsidRPr="007A368B">
              <w:rPr>
                <w:sz w:val="22"/>
                <w:szCs w:val="22"/>
                <w:lang w:val="en-US"/>
              </w:rPr>
              <w:t>;</w:t>
            </w:r>
            <w:r w:rsidR="007C3BDC" w:rsidRPr="007A368B">
              <w:rPr>
                <w:sz w:val="22"/>
                <w:szCs w:val="22"/>
                <w:lang w:val="en-US"/>
              </w:rPr>
              <w:t xml:space="preserve"> we will act accordingly to ensure </w:t>
            </w:r>
            <w:r w:rsidR="00FD0378" w:rsidRPr="007A368B">
              <w:rPr>
                <w:sz w:val="22"/>
                <w:szCs w:val="22"/>
                <w:lang w:val="en-US"/>
              </w:rPr>
              <w:t xml:space="preserve">mechanisms are put in place to comply </w:t>
            </w:r>
            <w:r w:rsidR="007C3BDC" w:rsidRPr="007A368B">
              <w:rPr>
                <w:sz w:val="22"/>
                <w:szCs w:val="22"/>
                <w:lang w:val="en-US"/>
              </w:rPr>
              <w:t>with new guidance/model</w:t>
            </w:r>
            <w:r w:rsidR="00FD0378" w:rsidRPr="007A368B">
              <w:rPr>
                <w:sz w:val="22"/>
                <w:szCs w:val="22"/>
                <w:lang w:val="en-US"/>
              </w:rPr>
              <w:t>.</w:t>
            </w:r>
          </w:p>
        </w:tc>
      </w:tr>
      <w:tr w:rsidR="0026349B" w:rsidRPr="007A368B" w:rsidTr="00DA18FB">
        <w:tc>
          <w:tcPr>
            <w:tcW w:w="9322" w:type="dxa"/>
            <w:shd w:val="clear" w:color="auto" w:fill="92CDDC"/>
          </w:tcPr>
          <w:p w:rsidR="0026349B" w:rsidRPr="007A368B" w:rsidRDefault="002833B8" w:rsidP="0026349B">
            <w:pPr>
              <w:tabs>
                <w:tab w:val="center" w:pos="4153"/>
                <w:tab w:val="right" w:pos="8306"/>
              </w:tabs>
              <w:spacing w:before="120" w:after="120"/>
              <w:contextualSpacing/>
              <w:rPr>
                <w:rFonts w:ascii="Arial" w:hAnsi="Arial" w:cs="Arial"/>
                <w:b/>
                <w:color w:val="000000"/>
                <w:sz w:val="22"/>
                <w:szCs w:val="22"/>
              </w:rPr>
            </w:pPr>
            <w:r w:rsidRPr="007A368B">
              <w:rPr>
                <w:rFonts w:ascii="Arial" w:hAnsi="Arial" w:cs="Arial"/>
                <w:b/>
                <w:color w:val="000000"/>
                <w:sz w:val="22"/>
                <w:szCs w:val="22"/>
              </w:rPr>
              <w:lastRenderedPageBreak/>
              <w:t>E</w:t>
            </w:r>
            <w:r w:rsidR="0026349B" w:rsidRPr="007A368B">
              <w:rPr>
                <w:rFonts w:ascii="Arial" w:hAnsi="Arial" w:cs="Arial"/>
                <w:b/>
                <w:color w:val="000000"/>
                <w:sz w:val="22"/>
                <w:szCs w:val="22"/>
              </w:rPr>
              <w:t>ffective</w:t>
            </w:r>
          </w:p>
        </w:tc>
      </w:tr>
      <w:tr w:rsidR="0026349B" w:rsidRPr="007A368B" w:rsidTr="0026349B">
        <w:tc>
          <w:tcPr>
            <w:tcW w:w="9322" w:type="dxa"/>
            <w:tcBorders>
              <w:bottom w:val="single" w:sz="4" w:space="0" w:color="auto"/>
            </w:tcBorders>
            <w:shd w:val="clear" w:color="auto" w:fill="DAEEF3"/>
          </w:tcPr>
          <w:p w:rsidR="0026349B" w:rsidRPr="007A368B" w:rsidRDefault="0026349B" w:rsidP="0026349B">
            <w:pPr>
              <w:pStyle w:val="ListParagraph"/>
              <w:spacing w:before="120" w:after="120"/>
              <w:ind w:left="0"/>
              <w:contextualSpacing/>
              <w:rPr>
                <w:b/>
                <w:color w:val="000000"/>
                <w:sz w:val="22"/>
                <w:szCs w:val="22"/>
              </w:rPr>
            </w:pPr>
            <w:r w:rsidRPr="007A368B">
              <w:rPr>
                <w:b/>
                <w:color w:val="000000"/>
                <w:sz w:val="22"/>
                <w:szCs w:val="22"/>
              </w:rPr>
              <w:t>The most appropriate treatments, interventions, support and services will be provided at the right time to everyone who will benefit, and wasteful or harmful variation will be eradicated.</w:t>
            </w:r>
          </w:p>
        </w:tc>
      </w:tr>
      <w:tr w:rsidR="0026349B" w:rsidRPr="007A368B" w:rsidTr="0026349B">
        <w:tc>
          <w:tcPr>
            <w:tcW w:w="9322" w:type="dxa"/>
            <w:shd w:val="clear" w:color="auto" w:fill="auto"/>
          </w:tcPr>
          <w:p w:rsidR="008351D0" w:rsidRPr="007A368B" w:rsidRDefault="008351D0" w:rsidP="007A368B">
            <w:pPr>
              <w:pStyle w:val="ListParagraph"/>
              <w:numPr>
                <w:ilvl w:val="0"/>
                <w:numId w:val="20"/>
              </w:numPr>
              <w:tabs>
                <w:tab w:val="left" w:pos="709"/>
              </w:tabs>
              <w:spacing w:after="120"/>
              <w:ind w:left="357" w:hanging="357"/>
              <w:rPr>
                <w:sz w:val="22"/>
                <w:szCs w:val="22"/>
              </w:rPr>
            </w:pPr>
            <w:r w:rsidRPr="007A368B">
              <w:rPr>
                <w:b/>
                <w:sz w:val="22"/>
                <w:szCs w:val="22"/>
              </w:rPr>
              <w:t>Foundation Policy</w:t>
            </w:r>
            <w:r w:rsidRPr="007A368B">
              <w:rPr>
                <w:b/>
                <w:sz w:val="22"/>
                <w:szCs w:val="22"/>
              </w:rPr>
              <w:br/>
            </w:r>
            <w:r w:rsidRPr="007A368B">
              <w:rPr>
                <w:sz w:val="22"/>
                <w:szCs w:val="22"/>
              </w:rPr>
              <w:t xml:space="preserve">There was discussion regarding purpose and strategy of the Foundation and it was agreed that his needs to be formally compiled and brought back </w:t>
            </w:r>
            <w:r w:rsidR="007A368B" w:rsidRPr="007A368B">
              <w:rPr>
                <w:sz w:val="22"/>
                <w:szCs w:val="22"/>
              </w:rPr>
              <w:t>to the Committee for review.</w:t>
            </w:r>
          </w:p>
          <w:p w:rsidR="002833B8" w:rsidRPr="007A368B" w:rsidRDefault="002833B8" w:rsidP="00177F2E">
            <w:pPr>
              <w:pStyle w:val="ListParagraph"/>
              <w:numPr>
                <w:ilvl w:val="0"/>
                <w:numId w:val="20"/>
              </w:numPr>
              <w:tabs>
                <w:tab w:val="left" w:pos="709"/>
              </w:tabs>
              <w:spacing w:before="120" w:after="120"/>
              <w:ind w:left="357" w:hanging="357"/>
              <w:rPr>
                <w:sz w:val="22"/>
                <w:szCs w:val="22"/>
              </w:rPr>
            </w:pPr>
            <w:r w:rsidRPr="007A368B">
              <w:rPr>
                <w:b/>
                <w:sz w:val="22"/>
                <w:szCs w:val="22"/>
              </w:rPr>
              <w:t>Review of Fund Balances</w:t>
            </w:r>
            <w:r w:rsidR="00FD0378" w:rsidRPr="007A368B">
              <w:rPr>
                <w:b/>
                <w:sz w:val="22"/>
                <w:szCs w:val="22"/>
              </w:rPr>
              <w:br/>
            </w:r>
            <w:r w:rsidR="00FD0378" w:rsidRPr="007A368B">
              <w:rPr>
                <w:sz w:val="22"/>
                <w:szCs w:val="22"/>
              </w:rPr>
              <w:t>T</w:t>
            </w:r>
            <w:r w:rsidR="007C3BDC" w:rsidRPr="007A368B">
              <w:rPr>
                <w:color w:val="000000"/>
                <w:sz w:val="22"/>
                <w:szCs w:val="22"/>
              </w:rPr>
              <w:t xml:space="preserve">he committee reviewed </w:t>
            </w:r>
            <w:r w:rsidR="00FD0378" w:rsidRPr="007A368B">
              <w:rPr>
                <w:color w:val="000000"/>
                <w:sz w:val="22"/>
                <w:szCs w:val="22"/>
              </w:rPr>
              <w:t xml:space="preserve">fund </w:t>
            </w:r>
            <w:r w:rsidR="007C3BDC" w:rsidRPr="007A368B">
              <w:rPr>
                <w:color w:val="000000"/>
                <w:sz w:val="22"/>
                <w:szCs w:val="22"/>
              </w:rPr>
              <w:t xml:space="preserve">balances </w:t>
            </w:r>
            <w:r w:rsidR="00FD0378" w:rsidRPr="007A368B">
              <w:rPr>
                <w:color w:val="000000"/>
                <w:sz w:val="22"/>
                <w:szCs w:val="22"/>
              </w:rPr>
              <w:t xml:space="preserve">and transactions </w:t>
            </w:r>
            <w:r w:rsidR="007C3BDC" w:rsidRPr="007A368B">
              <w:rPr>
                <w:color w:val="000000"/>
                <w:sz w:val="22"/>
                <w:szCs w:val="22"/>
              </w:rPr>
              <w:t>a</w:t>
            </w:r>
            <w:r w:rsidR="00FD0378" w:rsidRPr="007A368B">
              <w:rPr>
                <w:color w:val="000000"/>
                <w:sz w:val="22"/>
                <w:szCs w:val="22"/>
              </w:rPr>
              <w:t>s a</w:t>
            </w:r>
            <w:r w:rsidR="007C3BDC" w:rsidRPr="007A368B">
              <w:rPr>
                <w:color w:val="000000"/>
                <w:sz w:val="22"/>
                <w:szCs w:val="22"/>
              </w:rPr>
              <w:t xml:space="preserve">t </w:t>
            </w:r>
            <w:r w:rsidR="00FD0378" w:rsidRPr="007A368B">
              <w:rPr>
                <w:color w:val="000000"/>
                <w:sz w:val="22"/>
                <w:szCs w:val="22"/>
              </w:rPr>
              <w:t>30 September 2019, balance of known funds is</w:t>
            </w:r>
            <w:r w:rsidR="007C3BDC" w:rsidRPr="007A368B">
              <w:rPr>
                <w:color w:val="000000"/>
                <w:sz w:val="22"/>
                <w:szCs w:val="22"/>
              </w:rPr>
              <w:t xml:space="preserve"> £3.1m which incorporates </w:t>
            </w:r>
            <w:r w:rsidR="00FD0378" w:rsidRPr="007A368B">
              <w:rPr>
                <w:color w:val="000000"/>
                <w:sz w:val="22"/>
                <w:szCs w:val="22"/>
              </w:rPr>
              <w:t>transfer of i</w:t>
            </w:r>
            <w:r w:rsidR="007C3BDC" w:rsidRPr="007A368B">
              <w:rPr>
                <w:color w:val="000000"/>
                <w:sz w:val="22"/>
                <w:szCs w:val="22"/>
              </w:rPr>
              <w:t>nnovation fund</w:t>
            </w:r>
            <w:r w:rsidR="00FD0378" w:rsidRPr="007A368B">
              <w:rPr>
                <w:color w:val="000000"/>
                <w:sz w:val="22"/>
                <w:szCs w:val="22"/>
              </w:rPr>
              <w:t>s</w:t>
            </w:r>
            <w:r w:rsidR="007C3BDC" w:rsidRPr="007A368B">
              <w:rPr>
                <w:color w:val="000000"/>
                <w:sz w:val="22"/>
                <w:szCs w:val="22"/>
              </w:rPr>
              <w:t xml:space="preserve"> received from Scottish Government</w:t>
            </w:r>
            <w:r w:rsidR="00FD0378" w:rsidRPr="007A368B">
              <w:rPr>
                <w:color w:val="000000"/>
                <w:sz w:val="22"/>
                <w:szCs w:val="22"/>
              </w:rPr>
              <w:t xml:space="preserve">, </w:t>
            </w:r>
            <w:r w:rsidR="007C3BDC" w:rsidRPr="007A368B">
              <w:rPr>
                <w:color w:val="000000"/>
                <w:sz w:val="22"/>
                <w:szCs w:val="22"/>
              </w:rPr>
              <w:t>Board endowment funds remain at the same level as previou</w:t>
            </w:r>
            <w:r w:rsidR="00FD0378" w:rsidRPr="007A368B">
              <w:rPr>
                <w:color w:val="000000"/>
                <w:sz w:val="22"/>
                <w:szCs w:val="22"/>
              </w:rPr>
              <w:t xml:space="preserve">s year and all expenditure transactions are less than £10k </w:t>
            </w:r>
            <w:r w:rsidR="00AF474B" w:rsidRPr="007A368B">
              <w:rPr>
                <w:color w:val="000000"/>
                <w:sz w:val="22"/>
                <w:szCs w:val="22"/>
              </w:rPr>
              <w:t xml:space="preserve">which is </w:t>
            </w:r>
            <w:r w:rsidR="00FD0378" w:rsidRPr="007A368B">
              <w:rPr>
                <w:color w:val="000000"/>
                <w:sz w:val="22"/>
                <w:szCs w:val="22"/>
              </w:rPr>
              <w:t>in line with the Board’s Standing Financial Instructions.</w:t>
            </w:r>
            <w:r w:rsidR="00AF474B" w:rsidRPr="007A368B">
              <w:rPr>
                <w:color w:val="000000"/>
                <w:sz w:val="22"/>
                <w:szCs w:val="22"/>
              </w:rPr>
              <w:t xml:space="preserve"> It was agreed that the format </w:t>
            </w:r>
            <w:r w:rsidR="00F177DA" w:rsidRPr="007A368B">
              <w:rPr>
                <w:color w:val="000000"/>
                <w:sz w:val="22"/>
                <w:szCs w:val="22"/>
              </w:rPr>
              <w:t xml:space="preserve">of the statement </w:t>
            </w:r>
            <w:r w:rsidR="00AF474B" w:rsidRPr="007A368B">
              <w:rPr>
                <w:color w:val="000000"/>
                <w:sz w:val="22"/>
                <w:szCs w:val="22"/>
              </w:rPr>
              <w:t xml:space="preserve">will be refreshed to include a column for </w:t>
            </w:r>
            <w:r w:rsidR="008351D0" w:rsidRPr="007A368B">
              <w:rPr>
                <w:color w:val="000000"/>
                <w:sz w:val="22"/>
                <w:szCs w:val="22"/>
              </w:rPr>
              <w:t xml:space="preserve">the </w:t>
            </w:r>
            <w:r w:rsidR="00AF474B" w:rsidRPr="007A368B">
              <w:rPr>
                <w:color w:val="000000"/>
                <w:sz w:val="22"/>
                <w:szCs w:val="22"/>
              </w:rPr>
              <w:t>purpose of fund</w:t>
            </w:r>
            <w:r w:rsidR="00F177DA" w:rsidRPr="007A368B">
              <w:rPr>
                <w:color w:val="000000"/>
                <w:sz w:val="22"/>
                <w:szCs w:val="22"/>
              </w:rPr>
              <w:t xml:space="preserve"> </w:t>
            </w:r>
            <w:r w:rsidR="00E53E02" w:rsidRPr="007A368B">
              <w:rPr>
                <w:color w:val="000000"/>
                <w:sz w:val="22"/>
                <w:szCs w:val="22"/>
              </w:rPr>
              <w:t xml:space="preserve">and fundholders </w:t>
            </w:r>
            <w:r w:rsidR="00F177DA" w:rsidRPr="007A368B">
              <w:rPr>
                <w:color w:val="000000"/>
                <w:sz w:val="22"/>
                <w:szCs w:val="22"/>
              </w:rPr>
              <w:t xml:space="preserve">name </w:t>
            </w:r>
            <w:r w:rsidR="00E53E02" w:rsidRPr="007A368B">
              <w:rPr>
                <w:color w:val="000000"/>
                <w:sz w:val="22"/>
                <w:szCs w:val="22"/>
              </w:rPr>
              <w:t xml:space="preserve">and </w:t>
            </w:r>
            <w:r w:rsidR="00F177DA" w:rsidRPr="007A368B">
              <w:rPr>
                <w:color w:val="000000"/>
                <w:sz w:val="22"/>
                <w:szCs w:val="22"/>
              </w:rPr>
              <w:t>position</w:t>
            </w:r>
            <w:r w:rsidR="00E53E02" w:rsidRPr="007A368B">
              <w:rPr>
                <w:color w:val="000000"/>
                <w:sz w:val="22"/>
                <w:szCs w:val="22"/>
              </w:rPr>
              <w:t>.</w:t>
            </w:r>
          </w:p>
          <w:p w:rsidR="0026349B" w:rsidRPr="007A368B" w:rsidRDefault="006A51FF" w:rsidP="006A51FF">
            <w:pPr>
              <w:pStyle w:val="ListParagraph"/>
              <w:numPr>
                <w:ilvl w:val="0"/>
                <w:numId w:val="20"/>
              </w:numPr>
              <w:tabs>
                <w:tab w:val="left" w:pos="709"/>
              </w:tabs>
              <w:spacing w:before="120" w:after="120"/>
              <w:ind w:left="357" w:hanging="357"/>
              <w:rPr>
                <w:sz w:val="22"/>
                <w:szCs w:val="22"/>
              </w:rPr>
            </w:pPr>
            <w:r w:rsidRPr="007A368B">
              <w:rPr>
                <w:b/>
                <w:sz w:val="22"/>
                <w:szCs w:val="22"/>
                <w:lang w:val="en-US"/>
              </w:rPr>
              <w:t>Charity Risk Register</w:t>
            </w:r>
            <w:r w:rsidR="000C0E8F" w:rsidRPr="007A368B">
              <w:rPr>
                <w:sz w:val="22"/>
                <w:szCs w:val="22"/>
              </w:rPr>
              <w:br/>
              <w:t>T</w:t>
            </w:r>
            <w:r w:rsidR="007C3BDC" w:rsidRPr="007A368B">
              <w:rPr>
                <w:sz w:val="22"/>
                <w:szCs w:val="22"/>
              </w:rPr>
              <w:t xml:space="preserve">he risk register </w:t>
            </w:r>
            <w:r w:rsidR="00AF330B" w:rsidRPr="007A368B">
              <w:rPr>
                <w:sz w:val="22"/>
                <w:szCs w:val="22"/>
              </w:rPr>
              <w:t xml:space="preserve">for the charity </w:t>
            </w:r>
            <w:r w:rsidR="007C3BDC" w:rsidRPr="007A368B">
              <w:rPr>
                <w:sz w:val="22"/>
                <w:szCs w:val="22"/>
              </w:rPr>
              <w:t xml:space="preserve">was reviewed by the committee with 7 risks recorded </w:t>
            </w:r>
            <w:r w:rsidR="00AF330B" w:rsidRPr="007A368B">
              <w:rPr>
                <w:sz w:val="22"/>
                <w:szCs w:val="22"/>
              </w:rPr>
              <w:t>capturing the main areas, risk ratings are at low end/</w:t>
            </w:r>
            <w:r w:rsidR="007C3BDC" w:rsidRPr="007A368B">
              <w:rPr>
                <w:sz w:val="22"/>
                <w:szCs w:val="22"/>
              </w:rPr>
              <w:t>el</w:t>
            </w:r>
            <w:r w:rsidR="00AF330B" w:rsidRPr="007A368B">
              <w:rPr>
                <w:sz w:val="22"/>
                <w:szCs w:val="22"/>
              </w:rPr>
              <w:t xml:space="preserve"> and the risk appetite is very cautious</w:t>
            </w:r>
            <w:r w:rsidR="007C3BDC" w:rsidRPr="007A368B">
              <w:rPr>
                <w:sz w:val="22"/>
                <w:szCs w:val="22"/>
              </w:rPr>
              <w:t xml:space="preserve">. It was </w:t>
            </w:r>
            <w:r w:rsidR="00323C69" w:rsidRPr="007A368B">
              <w:rPr>
                <w:sz w:val="22"/>
                <w:szCs w:val="22"/>
              </w:rPr>
              <w:t xml:space="preserve">proposed that the risk register </w:t>
            </w:r>
            <w:r w:rsidR="00AF330B" w:rsidRPr="007A368B">
              <w:rPr>
                <w:sz w:val="22"/>
                <w:szCs w:val="22"/>
              </w:rPr>
              <w:t>is refreshed</w:t>
            </w:r>
            <w:r w:rsidR="00323C69" w:rsidRPr="007A368B">
              <w:rPr>
                <w:sz w:val="22"/>
                <w:szCs w:val="22"/>
              </w:rPr>
              <w:t xml:space="preserve"> with sub section headings for Innovation risk and Charity risk.</w:t>
            </w:r>
            <w:r w:rsidR="00AF330B" w:rsidRPr="007A368B">
              <w:rPr>
                <w:sz w:val="22"/>
                <w:szCs w:val="22"/>
              </w:rPr>
              <w:t xml:space="preserve"> </w:t>
            </w:r>
          </w:p>
          <w:p w:rsidR="006A51FF" w:rsidRPr="007A368B" w:rsidRDefault="006A51FF" w:rsidP="006A51FF">
            <w:pPr>
              <w:pStyle w:val="ListParagraph"/>
              <w:numPr>
                <w:ilvl w:val="0"/>
                <w:numId w:val="20"/>
              </w:numPr>
              <w:tabs>
                <w:tab w:val="left" w:pos="709"/>
              </w:tabs>
              <w:spacing w:before="120" w:after="120"/>
              <w:ind w:left="357" w:hanging="357"/>
              <w:rPr>
                <w:sz w:val="22"/>
                <w:szCs w:val="22"/>
              </w:rPr>
            </w:pPr>
            <w:r w:rsidRPr="007A368B">
              <w:rPr>
                <w:b/>
                <w:sz w:val="22"/>
                <w:szCs w:val="22"/>
                <w:lang w:val="en-US"/>
              </w:rPr>
              <w:t>Expansion Artwork</w:t>
            </w:r>
            <w:r w:rsidR="000C0E8F" w:rsidRPr="007A368B">
              <w:rPr>
                <w:sz w:val="22"/>
                <w:szCs w:val="22"/>
                <w:lang w:val="en-US"/>
              </w:rPr>
              <w:br/>
              <w:t>T</w:t>
            </w:r>
            <w:r w:rsidR="00323C69" w:rsidRPr="007A368B">
              <w:rPr>
                <w:sz w:val="22"/>
                <w:szCs w:val="22"/>
                <w:lang w:val="en-US"/>
              </w:rPr>
              <w:t xml:space="preserve">he committee </w:t>
            </w:r>
            <w:r w:rsidR="00AF330B" w:rsidRPr="007A368B">
              <w:rPr>
                <w:sz w:val="22"/>
                <w:szCs w:val="22"/>
                <w:lang w:val="en-US"/>
              </w:rPr>
              <w:t xml:space="preserve">were </w:t>
            </w:r>
            <w:r w:rsidR="00474E87" w:rsidRPr="007A368B">
              <w:rPr>
                <w:sz w:val="22"/>
                <w:szCs w:val="22"/>
                <w:lang w:val="en-US"/>
              </w:rPr>
              <w:t>informed of</w:t>
            </w:r>
            <w:r w:rsidR="00AF330B" w:rsidRPr="007A368B">
              <w:rPr>
                <w:sz w:val="22"/>
                <w:szCs w:val="22"/>
                <w:lang w:val="en-US"/>
              </w:rPr>
              <w:t xml:space="preserve"> </w:t>
            </w:r>
            <w:r w:rsidR="009C0487" w:rsidRPr="007A368B">
              <w:rPr>
                <w:sz w:val="22"/>
                <w:szCs w:val="22"/>
                <w:lang w:val="en-US"/>
              </w:rPr>
              <w:t>a bid su</w:t>
            </w:r>
            <w:r w:rsidR="00323C69" w:rsidRPr="007A368B">
              <w:rPr>
                <w:sz w:val="22"/>
                <w:szCs w:val="22"/>
                <w:lang w:val="en-US"/>
              </w:rPr>
              <w:t xml:space="preserve">bmitted </w:t>
            </w:r>
            <w:r w:rsidR="009C0487" w:rsidRPr="007A368B">
              <w:rPr>
                <w:sz w:val="22"/>
                <w:szCs w:val="22"/>
                <w:lang w:val="en-US"/>
              </w:rPr>
              <w:t xml:space="preserve">to Creative Scotland </w:t>
            </w:r>
            <w:r w:rsidR="00323C69" w:rsidRPr="007A368B">
              <w:rPr>
                <w:sz w:val="22"/>
                <w:szCs w:val="22"/>
                <w:lang w:val="en-US"/>
              </w:rPr>
              <w:t xml:space="preserve">for </w:t>
            </w:r>
            <w:r w:rsidR="009C0487" w:rsidRPr="007A368B">
              <w:rPr>
                <w:sz w:val="22"/>
                <w:szCs w:val="22"/>
                <w:lang w:val="en-US"/>
              </w:rPr>
              <w:t xml:space="preserve">delivery of an </w:t>
            </w:r>
            <w:r w:rsidR="00323C69" w:rsidRPr="007A368B">
              <w:rPr>
                <w:sz w:val="22"/>
                <w:szCs w:val="22"/>
                <w:lang w:val="en-US"/>
              </w:rPr>
              <w:t>art</w:t>
            </w:r>
            <w:r w:rsidR="009C0487" w:rsidRPr="007A368B">
              <w:rPr>
                <w:sz w:val="22"/>
                <w:szCs w:val="22"/>
                <w:lang w:val="en-US"/>
              </w:rPr>
              <w:t>s</w:t>
            </w:r>
            <w:r w:rsidR="00323C69" w:rsidRPr="007A368B">
              <w:rPr>
                <w:sz w:val="22"/>
                <w:szCs w:val="22"/>
                <w:lang w:val="en-US"/>
              </w:rPr>
              <w:t xml:space="preserve"> strategy for Phase 1 </w:t>
            </w:r>
            <w:r w:rsidR="009C0487" w:rsidRPr="007A368B">
              <w:rPr>
                <w:sz w:val="22"/>
                <w:szCs w:val="22"/>
                <w:lang w:val="en-US"/>
              </w:rPr>
              <w:t>Expansion, if the bid is successful the Board will be committed to 40% contribution, the committee were therefore asked to support in principle use of general endowment funds for this sum.</w:t>
            </w:r>
            <w:r w:rsidR="009C0487" w:rsidRPr="007A368B">
              <w:rPr>
                <w:sz w:val="22"/>
                <w:szCs w:val="22"/>
                <w:lang w:val="en-US"/>
              </w:rPr>
              <w:br/>
              <w:t>I</w:t>
            </w:r>
            <w:r w:rsidR="00323C69" w:rsidRPr="007A368B">
              <w:rPr>
                <w:sz w:val="22"/>
                <w:szCs w:val="22"/>
                <w:lang w:val="en-US"/>
              </w:rPr>
              <w:t xml:space="preserve">t was agreed to await the outcome of the bid and then further information will be provided </w:t>
            </w:r>
            <w:r w:rsidR="009C0487" w:rsidRPr="007A368B">
              <w:rPr>
                <w:sz w:val="22"/>
                <w:szCs w:val="22"/>
                <w:lang w:val="en-US"/>
              </w:rPr>
              <w:t xml:space="preserve">on a full case and financials </w:t>
            </w:r>
            <w:r w:rsidR="00323C69" w:rsidRPr="007A368B">
              <w:rPr>
                <w:sz w:val="22"/>
                <w:szCs w:val="22"/>
                <w:lang w:val="en-US"/>
              </w:rPr>
              <w:t xml:space="preserve">as </w:t>
            </w:r>
            <w:r w:rsidR="00E17AD3" w:rsidRPr="007A368B">
              <w:rPr>
                <w:sz w:val="22"/>
                <w:szCs w:val="22"/>
                <w:lang w:val="en-US"/>
              </w:rPr>
              <w:t xml:space="preserve">to </w:t>
            </w:r>
            <w:r w:rsidR="00323C69" w:rsidRPr="007A368B">
              <w:rPr>
                <w:sz w:val="22"/>
                <w:szCs w:val="22"/>
                <w:lang w:val="en-US"/>
              </w:rPr>
              <w:t xml:space="preserve">whether it is appropriate to use charitable funds </w:t>
            </w:r>
            <w:r w:rsidR="009C0487" w:rsidRPr="007A368B">
              <w:rPr>
                <w:sz w:val="22"/>
                <w:szCs w:val="22"/>
                <w:lang w:val="en-US"/>
              </w:rPr>
              <w:t>for</w:t>
            </w:r>
            <w:r w:rsidR="00323C69" w:rsidRPr="007A368B">
              <w:rPr>
                <w:sz w:val="22"/>
                <w:szCs w:val="22"/>
                <w:lang w:val="en-US"/>
              </w:rPr>
              <w:t xml:space="preserve"> artwork or if it should be funded from </w:t>
            </w:r>
            <w:r w:rsidR="00474E87" w:rsidRPr="007A368B">
              <w:rPr>
                <w:sz w:val="22"/>
                <w:szCs w:val="22"/>
                <w:lang w:val="en-US"/>
              </w:rPr>
              <w:t>revenue funding</w:t>
            </w:r>
            <w:r w:rsidR="00E53E02" w:rsidRPr="007A368B">
              <w:rPr>
                <w:sz w:val="22"/>
                <w:szCs w:val="22"/>
                <w:lang w:val="en-US"/>
              </w:rPr>
              <w:t>.</w:t>
            </w:r>
            <w:r w:rsidR="009C0487" w:rsidRPr="007A368B">
              <w:rPr>
                <w:sz w:val="22"/>
                <w:szCs w:val="22"/>
              </w:rPr>
              <w:t xml:space="preserve"> </w:t>
            </w:r>
          </w:p>
          <w:p w:rsidR="006A51FF" w:rsidRPr="007A368B" w:rsidRDefault="006A51FF" w:rsidP="008351D0">
            <w:pPr>
              <w:pStyle w:val="ListParagraph"/>
              <w:numPr>
                <w:ilvl w:val="0"/>
                <w:numId w:val="20"/>
              </w:numPr>
              <w:tabs>
                <w:tab w:val="left" w:pos="709"/>
              </w:tabs>
              <w:spacing w:before="120" w:after="120"/>
              <w:ind w:left="357" w:hanging="357"/>
              <w:rPr>
                <w:sz w:val="22"/>
                <w:szCs w:val="22"/>
              </w:rPr>
            </w:pPr>
            <w:r w:rsidRPr="007A368B">
              <w:rPr>
                <w:b/>
                <w:color w:val="000000" w:themeColor="text1"/>
                <w:sz w:val="22"/>
                <w:szCs w:val="22"/>
              </w:rPr>
              <w:t>Charity Kiosks</w:t>
            </w:r>
            <w:r w:rsidRPr="007A368B">
              <w:rPr>
                <w:color w:val="000000" w:themeColor="text1"/>
                <w:sz w:val="22"/>
                <w:szCs w:val="22"/>
              </w:rPr>
              <w:t xml:space="preserve"> - </w:t>
            </w:r>
            <w:r w:rsidRPr="007A368B">
              <w:rPr>
                <w:b/>
                <w:color w:val="000000" w:themeColor="text1"/>
                <w:sz w:val="22"/>
                <w:szCs w:val="22"/>
              </w:rPr>
              <w:t>Easy Pay Network</w:t>
            </w:r>
            <w:r w:rsidR="00323C69" w:rsidRPr="007A368B">
              <w:rPr>
                <w:color w:val="000000" w:themeColor="text1"/>
                <w:sz w:val="22"/>
                <w:szCs w:val="22"/>
              </w:rPr>
              <w:t xml:space="preserve"> </w:t>
            </w:r>
            <w:r w:rsidR="000C0E8F" w:rsidRPr="007A368B">
              <w:rPr>
                <w:color w:val="000000" w:themeColor="text1"/>
                <w:sz w:val="22"/>
                <w:szCs w:val="22"/>
              </w:rPr>
              <w:br/>
              <w:t>T</w:t>
            </w:r>
            <w:r w:rsidR="006B1B4D" w:rsidRPr="007A368B">
              <w:rPr>
                <w:color w:val="000000" w:themeColor="text1"/>
                <w:sz w:val="22"/>
                <w:szCs w:val="22"/>
              </w:rPr>
              <w:t xml:space="preserve">he committee were </w:t>
            </w:r>
            <w:r w:rsidR="00E17AD3" w:rsidRPr="007A368B">
              <w:rPr>
                <w:color w:val="000000" w:themeColor="text1"/>
                <w:sz w:val="22"/>
                <w:szCs w:val="22"/>
              </w:rPr>
              <w:t>informed of an innovative</w:t>
            </w:r>
            <w:r w:rsidR="00323C69" w:rsidRPr="007A368B">
              <w:rPr>
                <w:color w:val="000000" w:themeColor="text1"/>
                <w:sz w:val="22"/>
                <w:szCs w:val="22"/>
              </w:rPr>
              <w:t xml:space="preserve"> idea which is a stand</w:t>
            </w:r>
            <w:r w:rsidR="00134F35" w:rsidRPr="007A368B">
              <w:rPr>
                <w:color w:val="000000" w:themeColor="text1"/>
                <w:sz w:val="22"/>
                <w:szCs w:val="22"/>
              </w:rPr>
              <w:t>-</w:t>
            </w:r>
            <w:r w:rsidR="00323C69" w:rsidRPr="007A368B">
              <w:rPr>
                <w:color w:val="000000" w:themeColor="text1"/>
                <w:sz w:val="22"/>
                <w:szCs w:val="22"/>
              </w:rPr>
              <w:t xml:space="preserve">alone </w:t>
            </w:r>
            <w:r w:rsidR="006B1B4D" w:rsidRPr="007A368B">
              <w:rPr>
                <w:color w:val="000000" w:themeColor="text1"/>
                <w:sz w:val="22"/>
                <w:szCs w:val="22"/>
              </w:rPr>
              <w:t xml:space="preserve">donation </w:t>
            </w:r>
            <w:r w:rsidR="00323C69" w:rsidRPr="007A368B">
              <w:rPr>
                <w:color w:val="000000" w:themeColor="text1"/>
                <w:sz w:val="22"/>
                <w:szCs w:val="22"/>
              </w:rPr>
              <w:t xml:space="preserve">kiosk which enables patients/visitors to make </w:t>
            </w:r>
            <w:r w:rsidR="006B1B4D" w:rsidRPr="007A368B">
              <w:rPr>
                <w:color w:val="000000" w:themeColor="text1"/>
                <w:sz w:val="22"/>
                <w:szCs w:val="22"/>
              </w:rPr>
              <w:t xml:space="preserve">electronic </w:t>
            </w:r>
            <w:r w:rsidR="00323C69" w:rsidRPr="007A368B">
              <w:rPr>
                <w:color w:val="000000" w:themeColor="text1"/>
                <w:sz w:val="22"/>
                <w:szCs w:val="22"/>
              </w:rPr>
              <w:t xml:space="preserve">donations to </w:t>
            </w:r>
            <w:r w:rsidR="00134F35" w:rsidRPr="007A368B">
              <w:rPr>
                <w:color w:val="000000" w:themeColor="text1"/>
                <w:sz w:val="22"/>
                <w:szCs w:val="22"/>
              </w:rPr>
              <w:t xml:space="preserve">the </w:t>
            </w:r>
            <w:r w:rsidR="00323C69" w:rsidRPr="007A368B">
              <w:rPr>
                <w:color w:val="000000" w:themeColor="text1"/>
                <w:sz w:val="22"/>
                <w:szCs w:val="22"/>
              </w:rPr>
              <w:t>charity</w:t>
            </w:r>
            <w:r w:rsidR="00134F35" w:rsidRPr="007A368B">
              <w:rPr>
                <w:color w:val="000000" w:themeColor="text1"/>
                <w:sz w:val="22"/>
                <w:szCs w:val="22"/>
              </w:rPr>
              <w:t>, from a governance perspective this</w:t>
            </w:r>
            <w:r w:rsidR="00323C69" w:rsidRPr="007A368B">
              <w:rPr>
                <w:color w:val="000000" w:themeColor="text1"/>
                <w:sz w:val="22"/>
                <w:szCs w:val="22"/>
              </w:rPr>
              <w:t xml:space="preserve"> </w:t>
            </w:r>
            <w:r w:rsidR="00134F35" w:rsidRPr="007A368B">
              <w:rPr>
                <w:color w:val="000000" w:themeColor="text1"/>
                <w:sz w:val="22"/>
                <w:szCs w:val="22"/>
              </w:rPr>
              <w:t>is a s</w:t>
            </w:r>
            <w:r w:rsidR="006B1B4D" w:rsidRPr="007A368B">
              <w:rPr>
                <w:color w:val="000000" w:themeColor="text1"/>
                <w:sz w:val="22"/>
                <w:szCs w:val="22"/>
              </w:rPr>
              <w:t>ecure</w:t>
            </w:r>
            <w:r w:rsidR="00134F35" w:rsidRPr="007A368B">
              <w:rPr>
                <w:color w:val="000000" w:themeColor="text1"/>
                <w:sz w:val="22"/>
                <w:szCs w:val="22"/>
              </w:rPr>
              <w:t xml:space="preserve"> way for donations to be made</w:t>
            </w:r>
            <w:r w:rsidR="006B1B4D" w:rsidRPr="007A368B">
              <w:rPr>
                <w:color w:val="000000" w:themeColor="text1"/>
                <w:sz w:val="22"/>
                <w:szCs w:val="22"/>
              </w:rPr>
              <w:t xml:space="preserve"> and avoids requirement to handle cash donations</w:t>
            </w:r>
            <w:r w:rsidR="00134F35" w:rsidRPr="007A368B">
              <w:rPr>
                <w:color w:val="000000" w:themeColor="text1"/>
                <w:sz w:val="22"/>
                <w:szCs w:val="22"/>
              </w:rPr>
              <w:t xml:space="preserve">. </w:t>
            </w:r>
            <w:r w:rsidR="006B1B4D" w:rsidRPr="007A368B">
              <w:rPr>
                <w:color w:val="000000" w:themeColor="text1"/>
                <w:sz w:val="22"/>
                <w:szCs w:val="22"/>
              </w:rPr>
              <w:t>Whilst members were supportive of the introduction of a Donation Kiosk i</w:t>
            </w:r>
            <w:r w:rsidR="00323C69" w:rsidRPr="007A368B">
              <w:rPr>
                <w:color w:val="000000" w:themeColor="text1"/>
                <w:sz w:val="22"/>
                <w:szCs w:val="22"/>
              </w:rPr>
              <w:t xml:space="preserve">t was agreed </w:t>
            </w:r>
            <w:r w:rsidR="006B1B4D" w:rsidRPr="007A368B">
              <w:rPr>
                <w:color w:val="000000" w:themeColor="text1"/>
                <w:sz w:val="22"/>
                <w:szCs w:val="22"/>
              </w:rPr>
              <w:t xml:space="preserve">that </w:t>
            </w:r>
            <w:r w:rsidR="00323C69" w:rsidRPr="007A368B">
              <w:rPr>
                <w:color w:val="000000" w:themeColor="text1"/>
                <w:sz w:val="22"/>
                <w:szCs w:val="22"/>
              </w:rPr>
              <w:t xml:space="preserve">a working group would be established to include volunteers to </w:t>
            </w:r>
            <w:r w:rsidR="008351D0" w:rsidRPr="007A368B">
              <w:rPr>
                <w:color w:val="000000" w:themeColor="text1"/>
                <w:sz w:val="22"/>
                <w:szCs w:val="22"/>
              </w:rPr>
              <w:t xml:space="preserve">consider </w:t>
            </w:r>
            <w:r w:rsidR="00323C69" w:rsidRPr="007A368B">
              <w:rPr>
                <w:color w:val="000000" w:themeColor="text1"/>
                <w:sz w:val="22"/>
                <w:szCs w:val="22"/>
              </w:rPr>
              <w:t>this proposal in depth.</w:t>
            </w:r>
          </w:p>
        </w:tc>
      </w:tr>
    </w:tbl>
    <w:p w:rsidR="00EB7C07" w:rsidRPr="007A368B" w:rsidRDefault="00EB7C07" w:rsidP="00506517">
      <w:pPr>
        <w:ind w:right="183"/>
        <w:rPr>
          <w:rFonts w:ascii="Arial" w:hAnsi="Arial" w:cs="Arial"/>
          <w:sz w:val="22"/>
          <w:szCs w:val="22"/>
        </w:rPr>
      </w:pPr>
    </w:p>
    <w:p w:rsidR="008B1814" w:rsidRPr="007A368B" w:rsidRDefault="0026349B" w:rsidP="008B1814">
      <w:pPr>
        <w:rPr>
          <w:rFonts w:ascii="Arial" w:hAnsi="Arial" w:cs="Arial"/>
          <w:bCs/>
          <w:sz w:val="22"/>
          <w:szCs w:val="22"/>
        </w:rPr>
      </w:pPr>
      <w:r w:rsidRPr="007A368B">
        <w:rPr>
          <w:rFonts w:ascii="Arial" w:hAnsi="Arial" w:cs="Arial"/>
          <w:bCs/>
          <w:sz w:val="22"/>
          <w:szCs w:val="22"/>
        </w:rPr>
        <w:t xml:space="preserve">The next meeting is scheduled for: </w:t>
      </w:r>
      <w:r w:rsidR="008B1814" w:rsidRPr="007A368B">
        <w:rPr>
          <w:rFonts w:ascii="Arial" w:hAnsi="Arial" w:cs="Arial"/>
          <w:bCs/>
          <w:sz w:val="22"/>
          <w:szCs w:val="22"/>
        </w:rPr>
        <w:t xml:space="preserve">Tuesday </w:t>
      </w:r>
      <w:r w:rsidR="006A51FF" w:rsidRPr="007A368B">
        <w:rPr>
          <w:rFonts w:ascii="Arial" w:hAnsi="Arial" w:cs="Arial"/>
          <w:bCs/>
          <w:sz w:val="22"/>
          <w:szCs w:val="22"/>
        </w:rPr>
        <w:t>11 February 2020</w:t>
      </w:r>
    </w:p>
    <w:p w:rsidR="006A51FF" w:rsidRPr="007A368B" w:rsidRDefault="006A51FF" w:rsidP="008B1814">
      <w:pPr>
        <w:rPr>
          <w:rFonts w:ascii="Arial" w:hAnsi="Arial" w:cs="Arial"/>
          <w:bCs/>
          <w:sz w:val="22"/>
          <w:szCs w:val="22"/>
        </w:rPr>
      </w:pPr>
    </w:p>
    <w:p w:rsidR="008B1814" w:rsidRPr="007A368B" w:rsidRDefault="006A51FF" w:rsidP="008B1814">
      <w:pPr>
        <w:rPr>
          <w:rFonts w:ascii="Arial" w:hAnsi="Arial" w:cs="Arial"/>
          <w:b/>
          <w:bCs/>
          <w:sz w:val="22"/>
          <w:szCs w:val="22"/>
        </w:rPr>
      </w:pPr>
      <w:r w:rsidRPr="007A368B">
        <w:rPr>
          <w:rFonts w:ascii="Arial" w:hAnsi="Arial" w:cs="Arial"/>
          <w:b/>
          <w:bCs/>
          <w:sz w:val="22"/>
          <w:szCs w:val="22"/>
        </w:rPr>
        <w:t>Rob Moore</w:t>
      </w:r>
    </w:p>
    <w:p w:rsidR="008B1814" w:rsidRPr="007A368B" w:rsidRDefault="008B1814" w:rsidP="008B1814">
      <w:pPr>
        <w:rPr>
          <w:rFonts w:ascii="Arial" w:hAnsi="Arial" w:cs="Arial"/>
          <w:b/>
          <w:bCs/>
          <w:sz w:val="22"/>
          <w:szCs w:val="22"/>
        </w:rPr>
      </w:pPr>
      <w:r w:rsidRPr="007A368B">
        <w:rPr>
          <w:rFonts w:ascii="Arial" w:hAnsi="Arial" w:cs="Arial"/>
          <w:b/>
          <w:bCs/>
          <w:sz w:val="22"/>
          <w:szCs w:val="22"/>
        </w:rPr>
        <w:t>Chair, Endowments Sub Committee</w:t>
      </w:r>
    </w:p>
    <w:p w:rsidR="008B1814" w:rsidRPr="007A368B" w:rsidRDefault="006A51FF" w:rsidP="008B1814">
      <w:pPr>
        <w:rPr>
          <w:rFonts w:ascii="Arial" w:hAnsi="Arial" w:cs="Arial"/>
          <w:b/>
          <w:bCs/>
          <w:sz w:val="22"/>
          <w:szCs w:val="22"/>
        </w:rPr>
      </w:pPr>
      <w:r w:rsidRPr="007A368B">
        <w:rPr>
          <w:rFonts w:ascii="Arial" w:hAnsi="Arial" w:cs="Arial"/>
          <w:b/>
          <w:sz w:val="22"/>
          <w:szCs w:val="22"/>
        </w:rPr>
        <w:t>8 November</w:t>
      </w:r>
      <w:r w:rsidR="008B1814" w:rsidRPr="007A368B">
        <w:rPr>
          <w:rFonts w:ascii="Arial" w:hAnsi="Arial" w:cs="Arial"/>
          <w:b/>
          <w:sz w:val="22"/>
          <w:szCs w:val="22"/>
        </w:rPr>
        <w:t xml:space="preserve"> 2019</w:t>
      </w:r>
      <w:r w:rsidR="008B1814" w:rsidRPr="007A368B">
        <w:rPr>
          <w:rFonts w:ascii="Arial" w:hAnsi="Arial" w:cs="Arial"/>
          <w:b/>
          <w:bCs/>
          <w:sz w:val="22"/>
          <w:szCs w:val="22"/>
        </w:rPr>
        <w:t xml:space="preserve"> </w:t>
      </w:r>
    </w:p>
    <w:p w:rsidR="008B1814" w:rsidRPr="007A368B" w:rsidRDefault="008B1814" w:rsidP="008B1814">
      <w:pPr>
        <w:rPr>
          <w:rFonts w:ascii="Arial" w:hAnsi="Arial" w:cs="Arial"/>
          <w:b/>
          <w:bCs/>
          <w:sz w:val="22"/>
          <w:szCs w:val="22"/>
        </w:rPr>
      </w:pPr>
    </w:p>
    <w:p w:rsidR="0026349B" w:rsidRPr="007A368B" w:rsidRDefault="008B1814" w:rsidP="008B1814">
      <w:pPr>
        <w:rPr>
          <w:rFonts w:ascii="Arial" w:hAnsi="Arial" w:cs="Arial"/>
          <w:b/>
          <w:sz w:val="22"/>
          <w:szCs w:val="22"/>
        </w:rPr>
      </w:pPr>
      <w:r w:rsidRPr="007A368B">
        <w:rPr>
          <w:rFonts w:ascii="Arial" w:hAnsi="Arial" w:cs="Arial"/>
          <w:b/>
          <w:bCs/>
          <w:sz w:val="22"/>
          <w:szCs w:val="22"/>
        </w:rPr>
        <w:t>(</w:t>
      </w:r>
      <w:r w:rsidR="006A51FF" w:rsidRPr="007A368B">
        <w:rPr>
          <w:rFonts w:ascii="Arial" w:hAnsi="Arial" w:cs="Arial"/>
          <w:b/>
          <w:bCs/>
          <w:sz w:val="22"/>
          <w:szCs w:val="22"/>
        </w:rPr>
        <w:t>Colin Neil</w:t>
      </w:r>
      <w:r w:rsidRPr="007A368B">
        <w:rPr>
          <w:rFonts w:ascii="Arial" w:hAnsi="Arial" w:cs="Arial"/>
          <w:b/>
          <w:bCs/>
          <w:sz w:val="22"/>
          <w:szCs w:val="22"/>
        </w:rPr>
        <w:t>, D</w:t>
      </w:r>
      <w:bookmarkStart w:id="0" w:name="_GoBack"/>
      <w:bookmarkEnd w:id="0"/>
      <w:r w:rsidRPr="007A368B">
        <w:rPr>
          <w:rFonts w:ascii="Arial" w:hAnsi="Arial" w:cs="Arial"/>
          <w:b/>
          <w:bCs/>
          <w:sz w:val="22"/>
          <w:szCs w:val="22"/>
        </w:rPr>
        <w:t>irector of Finance)</w:t>
      </w:r>
    </w:p>
    <w:sectPr w:rsidR="0026349B" w:rsidRPr="007A368B" w:rsidSect="00AE1BE9">
      <w:footerReference w:type="default" r:id="rId8"/>
      <w:footerReference w:type="first" r:id="rId9"/>
      <w:pgSz w:w="11906" w:h="16838"/>
      <w:pgMar w:top="1440" w:right="127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BEF" w:rsidRDefault="004B7BEF">
      <w:r>
        <w:separator/>
      </w:r>
    </w:p>
  </w:endnote>
  <w:endnote w:type="continuationSeparator" w:id="0">
    <w:p w:rsidR="004B7BEF" w:rsidRDefault="004B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4CD" w:rsidRPr="003506E9" w:rsidRDefault="001B74CD" w:rsidP="003506E9">
    <w:pPr>
      <w:ind w:left="-540"/>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4CD" w:rsidRPr="00B732D1" w:rsidRDefault="001B74CD" w:rsidP="00B732D1">
    <w:pPr>
      <w:pStyle w:val="Title"/>
      <w:ind w:right="184"/>
      <w:jc w:val="left"/>
      <w:outlineLvl w:val="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BEF" w:rsidRDefault="004B7BEF">
      <w:r>
        <w:separator/>
      </w:r>
    </w:p>
  </w:footnote>
  <w:footnote w:type="continuationSeparator" w:id="0">
    <w:p w:rsidR="004B7BEF" w:rsidRDefault="004B7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1504421"/>
    <w:multiLevelType w:val="hybridMultilevel"/>
    <w:tmpl w:val="E80A86A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15:restartNumberingAfterBreak="0">
    <w:nsid w:val="2CA31902"/>
    <w:multiLevelType w:val="hybridMultilevel"/>
    <w:tmpl w:val="9926D146"/>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08" w:hanging="360"/>
      </w:pPr>
      <w:rPr>
        <w:rFonts w:ascii="Wingdings" w:hAnsi="Wingdings" w:hint="default"/>
      </w:rPr>
    </w:lvl>
    <w:lvl w:ilvl="3" w:tplc="08090001" w:tentative="1">
      <w:start w:val="1"/>
      <w:numFmt w:val="bullet"/>
      <w:lvlText w:val=""/>
      <w:lvlJc w:val="left"/>
      <w:pPr>
        <w:ind w:left="2028" w:hanging="360"/>
      </w:pPr>
      <w:rPr>
        <w:rFonts w:ascii="Symbol" w:hAnsi="Symbol" w:hint="default"/>
      </w:rPr>
    </w:lvl>
    <w:lvl w:ilvl="4" w:tplc="08090003" w:tentative="1">
      <w:start w:val="1"/>
      <w:numFmt w:val="bullet"/>
      <w:lvlText w:val="o"/>
      <w:lvlJc w:val="left"/>
      <w:pPr>
        <w:ind w:left="2748" w:hanging="360"/>
      </w:pPr>
      <w:rPr>
        <w:rFonts w:ascii="Courier New" w:hAnsi="Courier New" w:cs="Courier New" w:hint="default"/>
      </w:rPr>
    </w:lvl>
    <w:lvl w:ilvl="5" w:tplc="08090005" w:tentative="1">
      <w:start w:val="1"/>
      <w:numFmt w:val="bullet"/>
      <w:lvlText w:val=""/>
      <w:lvlJc w:val="left"/>
      <w:pPr>
        <w:ind w:left="3468" w:hanging="360"/>
      </w:pPr>
      <w:rPr>
        <w:rFonts w:ascii="Wingdings" w:hAnsi="Wingdings" w:hint="default"/>
      </w:rPr>
    </w:lvl>
    <w:lvl w:ilvl="6" w:tplc="08090001" w:tentative="1">
      <w:start w:val="1"/>
      <w:numFmt w:val="bullet"/>
      <w:lvlText w:val=""/>
      <w:lvlJc w:val="left"/>
      <w:pPr>
        <w:ind w:left="4188" w:hanging="360"/>
      </w:pPr>
      <w:rPr>
        <w:rFonts w:ascii="Symbol" w:hAnsi="Symbol" w:hint="default"/>
      </w:rPr>
    </w:lvl>
    <w:lvl w:ilvl="7" w:tplc="08090003" w:tentative="1">
      <w:start w:val="1"/>
      <w:numFmt w:val="bullet"/>
      <w:lvlText w:val="o"/>
      <w:lvlJc w:val="left"/>
      <w:pPr>
        <w:ind w:left="4908" w:hanging="360"/>
      </w:pPr>
      <w:rPr>
        <w:rFonts w:ascii="Courier New" w:hAnsi="Courier New" w:cs="Courier New" w:hint="default"/>
      </w:rPr>
    </w:lvl>
    <w:lvl w:ilvl="8" w:tplc="08090005" w:tentative="1">
      <w:start w:val="1"/>
      <w:numFmt w:val="bullet"/>
      <w:lvlText w:val=""/>
      <w:lvlJc w:val="left"/>
      <w:pPr>
        <w:ind w:left="5628" w:hanging="360"/>
      </w:pPr>
      <w:rPr>
        <w:rFonts w:ascii="Wingdings" w:hAnsi="Wingdings" w:hint="default"/>
      </w:rPr>
    </w:lvl>
  </w:abstractNum>
  <w:abstractNum w:abstractNumId="5" w15:restartNumberingAfterBreak="0">
    <w:nsid w:val="482B5DE5"/>
    <w:multiLevelType w:val="hybridMultilevel"/>
    <w:tmpl w:val="C08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86224E"/>
    <w:multiLevelType w:val="hybridMultilevel"/>
    <w:tmpl w:val="66425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453124"/>
    <w:multiLevelType w:val="hybridMultilevel"/>
    <w:tmpl w:val="C73E0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8737B52"/>
    <w:multiLevelType w:val="hybridMultilevel"/>
    <w:tmpl w:val="B2F63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9D5F38"/>
    <w:multiLevelType w:val="hybridMultilevel"/>
    <w:tmpl w:val="69F6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DF73C1"/>
    <w:multiLevelType w:val="hybridMultilevel"/>
    <w:tmpl w:val="FF642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B85FAA"/>
    <w:multiLevelType w:val="hybridMultilevel"/>
    <w:tmpl w:val="A4F4CD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4AB5072"/>
    <w:multiLevelType w:val="hybridMultilevel"/>
    <w:tmpl w:val="B65EA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84B4F1D"/>
    <w:multiLevelType w:val="hybridMultilevel"/>
    <w:tmpl w:val="95D23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381A60"/>
    <w:multiLevelType w:val="hybridMultilevel"/>
    <w:tmpl w:val="23DAE9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A90297B"/>
    <w:multiLevelType w:val="hybridMultilevel"/>
    <w:tmpl w:val="7F020458"/>
    <w:lvl w:ilvl="0" w:tplc="126654E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D335E49"/>
    <w:multiLevelType w:val="hybridMultilevel"/>
    <w:tmpl w:val="E2B84E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F4142B0"/>
    <w:multiLevelType w:val="multilevel"/>
    <w:tmpl w:val="7F020458"/>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4"/>
  </w:num>
  <w:num w:numId="2">
    <w:abstractNumId w:val="19"/>
  </w:num>
  <w:num w:numId="3">
    <w:abstractNumId w:val="8"/>
  </w:num>
  <w:num w:numId="4">
    <w:abstractNumId w:val="0"/>
  </w:num>
  <w:num w:numId="5">
    <w:abstractNumId w:val="2"/>
  </w:num>
  <w:num w:numId="6">
    <w:abstractNumId w:val="17"/>
  </w:num>
  <w:num w:numId="7">
    <w:abstractNumId w:val="20"/>
  </w:num>
  <w:num w:numId="8">
    <w:abstractNumId w:val="1"/>
  </w:num>
  <w:num w:numId="9">
    <w:abstractNumId w:val="18"/>
  </w:num>
  <w:num w:numId="10">
    <w:abstractNumId w:val="12"/>
  </w:num>
  <w:num w:numId="11">
    <w:abstractNumId w:val="16"/>
  </w:num>
  <w:num w:numId="12">
    <w:abstractNumId w:val="6"/>
  </w:num>
  <w:num w:numId="13">
    <w:abstractNumId w:val="9"/>
  </w:num>
  <w:num w:numId="14">
    <w:abstractNumId w:val="5"/>
  </w:num>
  <w:num w:numId="15">
    <w:abstractNumId w:val="7"/>
  </w:num>
  <w:num w:numId="16">
    <w:abstractNumId w:val="15"/>
  </w:num>
  <w:num w:numId="17">
    <w:abstractNumId w:val="13"/>
  </w:num>
  <w:num w:numId="18">
    <w:abstractNumId w:val="10"/>
  </w:num>
  <w:num w:numId="19">
    <w:abstractNumId w:val="4"/>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2577B"/>
    <w:rsid w:val="00035215"/>
    <w:rsid w:val="00044396"/>
    <w:rsid w:val="00053528"/>
    <w:rsid w:val="00075AAA"/>
    <w:rsid w:val="00086076"/>
    <w:rsid w:val="00087782"/>
    <w:rsid w:val="000A0F2E"/>
    <w:rsid w:val="000B5923"/>
    <w:rsid w:val="000C0E8F"/>
    <w:rsid w:val="001175E5"/>
    <w:rsid w:val="00134F35"/>
    <w:rsid w:val="0014213C"/>
    <w:rsid w:val="00162874"/>
    <w:rsid w:val="00177F2E"/>
    <w:rsid w:val="001827CC"/>
    <w:rsid w:val="001849E6"/>
    <w:rsid w:val="001A624A"/>
    <w:rsid w:val="001B3FD3"/>
    <w:rsid w:val="001B74CD"/>
    <w:rsid w:val="00200176"/>
    <w:rsid w:val="0022588F"/>
    <w:rsid w:val="00233E6E"/>
    <w:rsid w:val="00262E2F"/>
    <w:rsid w:val="0026349B"/>
    <w:rsid w:val="002833B8"/>
    <w:rsid w:val="00323C69"/>
    <w:rsid w:val="003263F1"/>
    <w:rsid w:val="003506E9"/>
    <w:rsid w:val="00362A4C"/>
    <w:rsid w:val="003E423D"/>
    <w:rsid w:val="003F19CA"/>
    <w:rsid w:val="004512CE"/>
    <w:rsid w:val="00463DB0"/>
    <w:rsid w:val="00474E87"/>
    <w:rsid w:val="0048318F"/>
    <w:rsid w:val="004B7BEF"/>
    <w:rsid w:val="004D6121"/>
    <w:rsid w:val="00506517"/>
    <w:rsid w:val="00513DB0"/>
    <w:rsid w:val="005200CC"/>
    <w:rsid w:val="00590B0A"/>
    <w:rsid w:val="005A33E3"/>
    <w:rsid w:val="005D41B3"/>
    <w:rsid w:val="006421AD"/>
    <w:rsid w:val="006A1357"/>
    <w:rsid w:val="006A51FF"/>
    <w:rsid w:val="006B1B4D"/>
    <w:rsid w:val="006C5F94"/>
    <w:rsid w:val="006D232B"/>
    <w:rsid w:val="00716C3B"/>
    <w:rsid w:val="00720EB3"/>
    <w:rsid w:val="00722DBB"/>
    <w:rsid w:val="00745A4B"/>
    <w:rsid w:val="007A368B"/>
    <w:rsid w:val="007C3BDC"/>
    <w:rsid w:val="00801D0E"/>
    <w:rsid w:val="00815350"/>
    <w:rsid w:val="008351D0"/>
    <w:rsid w:val="008553E2"/>
    <w:rsid w:val="00867E1A"/>
    <w:rsid w:val="00877128"/>
    <w:rsid w:val="00882F92"/>
    <w:rsid w:val="008B1814"/>
    <w:rsid w:val="008C26A2"/>
    <w:rsid w:val="008E2247"/>
    <w:rsid w:val="008E76A4"/>
    <w:rsid w:val="008F381E"/>
    <w:rsid w:val="0091291A"/>
    <w:rsid w:val="00952AC2"/>
    <w:rsid w:val="00992558"/>
    <w:rsid w:val="009C0487"/>
    <w:rsid w:val="00A2577B"/>
    <w:rsid w:val="00A51A3E"/>
    <w:rsid w:val="00AA09E0"/>
    <w:rsid w:val="00AB068F"/>
    <w:rsid w:val="00AE1BE9"/>
    <w:rsid w:val="00AF330B"/>
    <w:rsid w:val="00AF474B"/>
    <w:rsid w:val="00B53D30"/>
    <w:rsid w:val="00B732D1"/>
    <w:rsid w:val="00BD06C5"/>
    <w:rsid w:val="00C04A0D"/>
    <w:rsid w:val="00C956E2"/>
    <w:rsid w:val="00CF271F"/>
    <w:rsid w:val="00D346C3"/>
    <w:rsid w:val="00D73CBC"/>
    <w:rsid w:val="00D92AA6"/>
    <w:rsid w:val="00DA18FB"/>
    <w:rsid w:val="00E17AD3"/>
    <w:rsid w:val="00E53E02"/>
    <w:rsid w:val="00E95856"/>
    <w:rsid w:val="00EA58FE"/>
    <w:rsid w:val="00EB7C07"/>
    <w:rsid w:val="00F05DE6"/>
    <w:rsid w:val="00F177DA"/>
    <w:rsid w:val="00F60E38"/>
    <w:rsid w:val="00FB2457"/>
    <w:rsid w:val="00FD0378"/>
    <w:rsid w:val="00FD5E76"/>
    <w:rsid w:val="00FE1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FD353"/>
  <w15:docId w15:val="{0E0ABB6F-D2C5-4F23-9D9E-13DE4112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table" w:styleId="TableGrid">
    <w:name w:val="Table Grid"/>
    <w:basedOn w:val="TableNormal"/>
    <w:uiPriority w:val="39"/>
    <w:rsid w:val="006D2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D232B"/>
    <w:pPr>
      <w:ind w:left="720"/>
    </w:pPr>
    <w:rPr>
      <w:rFonts w:ascii="Arial" w:hAnsi="Arial" w:cs="Arial"/>
    </w:rPr>
  </w:style>
  <w:style w:type="paragraph" w:customStyle="1" w:styleId="Body">
    <w:name w:val="Body"/>
    <w:rsid w:val="006D232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Unicode MS" w:cs="Arial Unicode MS"/>
      <w:color w:val="000000"/>
      <w:sz w:val="24"/>
      <w:szCs w:val="24"/>
      <w:u w:color="000000"/>
    </w:rPr>
  </w:style>
  <w:style w:type="character" w:customStyle="1" w:styleId="TitleChar">
    <w:name w:val="Title Char"/>
    <w:basedOn w:val="DefaultParagraphFont"/>
    <w:link w:val="Title"/>
    <w:rsid w:val="00463DB0"/>
    <w:rPr>
      <w:b/>
      <w:sz w:val="22"/>
      <w:lang w:eastAsia="en-US"/>
    </w:rPr>
  </w:style>
  <w:style w:type="character" w:customStyle="1" w:styleId="HeaderChar">
    <w:name w:val="Header Char"/>
    <w:basedOn w:val="DefaultParagraphFont"/>
    <w:link w:val="Header"/>
    <w:uiPriority w:val="99"/>
    <w:rsid w:val="00506517"/>
    <w:rPr>
      <w:sz w:val="24"/>
      <w:szCs w:val="24"/>
      <w:lang w:eastAsia="en-US"/>
    </w:rPr>
  </w:style>
  <w:style w:type="character" w:customStyle="1" w:styleId="FooterChar">
    <w:name w:val="Footer Char"/>
    <w:basedOn w:val="DefaultParagraphFont"/>
    <w:link w:val="Footer"/>
    <w:uiPriority w:val="99"/>
    <w:rsid w:val="00506517"/>
    <w:rPr>
      <w:sz w:val="24"/>
      <w:szCs w:val="24"/>
      <w:lang w:eastAsia="en-US"/>
    </w:rPr>
  </w:style>
  <w:style w:type="paragraph" w:styleId="BalloonText">
    <w:name w:val="Balloon Text"/>
    <w:basedOn w:val="Normal"/>
    <w:link w:val="BalloonTextChar"/>
    <w:rsid w:val="00506517"/>
    <w:rPr>
      <w:rFonts w:ascii="Tahoma" w:hAnsi="Tahoma" w:cs="Tahoma"/>
      <w:sz w:val="16"/>
      <w:szCs w:val="16"/>
    </w:rPr>
  </w:style>
  <w:style w:type="character" w:customStyle="1" w:styleId="BalloonTextChar">
    <w:name w:val="Balloon Text Char"/>
    <w:basedOn w:val="DefaultParagraphFont"/>
    <w:link w:val="BalloonText"/>
    <w:rsid w:val="00506517"/>
    <w:rPr>
      <w:rFonts w:ascii="Tahoma" w:hAnsi="Tahoma" w:cs="Tahoma"/>
      <w:sz w:val="16"/>
      <w:szCs w:val="16"/>
      <w:lang w:eastAsia="en-US"/>
    </w:rPr>
  </w:style>
  <w:style w:type="character" w:customStyle="1" w:styleId="Heading1Char">
    <w:name w:val="Heading 1 Char"/>
    <w:basedOn w:val="DefaultParagraphFont"/>
    <w:link w:val="Heading1"/>
    <w:rsid w:val="003263F1"/>
    <w:rPr>
      <w:b/>
      <w:bCs/>
      <w:sz w:val="32"/>
      <w:szCs w:val="32"/>
      <w:lang w:eastAsia="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8B1814"/>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Anne McQueen</cp:lastModifiedBy>
  <cp:revision>17</cp:revision>
  <cp:lastPrinted>2019-11-13T09:23:00Z</cp:lastPrinted>
  <dcterms:created xsi:type="dcterms:W3CDTF">2019-11-07T12:50:00Z</dcterms:created>
  <dcterms:modified xsi:type="dcterms:W3CDTF">2019-11-13T09:23:00Z</dcterms:modified>
</cp:coreProperties>
</file>